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Filed by a Party other than the Registrant o</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Avis Budget Group,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80" w:hanging="486"/>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-1802765</wp:posOffset>
            </wp:positionV>
            <wp:extent cx="6629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-2085340</wp:posOffset>
            </wp:positionV>
            <wp:extent cx="6629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-2368550</wp:posOffset>
            </wp:positionV>
            <wp:extent cx="6629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-2788920</wp:posOffset>
            </wp:positionV>
            <wp:extent cx="6629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-3071495</wp:posOffset>
            </wp:positionV>
            <wp:extent cx="6629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152400</wp:posOffset>
            </wp:positionV>
            <wp:extent cx="6629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-130175</wp:posOffset>
            </wp:positionV>
            <wp:extent cx="6629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-413385</wp:posOffset>
            </wp:positionV>
            <wp:extent cx="6629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-695960</wp:posOffset>
            </wp:positionV>
            <wp:extent cx="6629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9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146685</wp:posOffset>
            </wp:positionV>
            <wp:extent cx="5248275" cy="127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4827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are cordially invited to attend the Annual Meeting of Shareholders of Avis Budget Group, Inc., which will be held at the offices of Kirkland &amp; Ellis LLP, 601 Lexington Avenue, New York, New York, on May 22, 2019, at 9:00 a.m. Eastern Time. We look forward to greeting as many of our shareholders as possible.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look forward to greeting personally those shareholders who are able to be present at the Annual Meeting. However, regardless of whether you plan to be with us at the Annual Meeting, it is important that your shares be represented and voted at the meeting. Your vote is important to us.</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shareholder and express our appreciation for your ongoing support of our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141478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Larry D. De Shon</w:t>
      </w:r>
    </w:p>
    <w:p>
      <w:pPr>
        <w:spacing w:after="0" w:line="234" w:lineRule="auto"/>
        <w:rPr>
          <w:sz w:val="20"/>
          <w:szCs w:val="20"/>
          <w:color w:val="auto"/>
        </w:rPr>
      </w:pPr>
      <w:r>
        <w:rPr>
          <w:rFonts w:ascii="Arial" w:cs="Arial" w:eastAsia="Arial" w:hAnsi="Arial"/>
          <w:sz w:val="18"/>
          <w:szCs w:val="18"/>
          <w:color w:val="auto"/>
        </w:rPr>
        <w:t>Chief Executive Officer,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15265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26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Leonard S. Coleman</w:t>
      </w: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45"/>
          <w:szCs w:val="45"/>
          <w:color w:val="auto"/>
        </w:rPr>
        <w:t>Notice of 2019 Annual Meeting of Shareholders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NOTICE IS HEREBY GIVEN that the Annual Meeting of Shareholders of Avis Budget Group, Inc. (the “Company”) will be held on May 22, 2019, at 9:00 a.m. Eastern Time, at the offices of Kirkland &amp; Ellis LLP, 601 Lexington Avenue, New York, New York (the “Meeting”), to consider and vote upon the following matters:</w:t>
      </w:r>
    </w:p>
    <w:p>
      <w:pPr>
        <w:spacing w:after="0" w:line="189" w:lineRule="exact"/>
        <w:rPr>
          <w:sz w:val="20"/>
          <w:szCs w:val="20"/>
          <w:color w:val="auto"/>
        </w:rPr>
      </w:pPr>
    </w:p>
    <w:p>
      <w:pPr>
        <w:ind w:left="460" w:hanging="452"/>
        <w:spacing w:after="0" w:line="24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twelve nominees named in the accompanying proxy statement for a one-year term expiring in 2020 and until his or her successor is duly elected and qualified or until his or her earlier resignation or removal.</w:t>
      </w:r>
    </w:p>
    <w:p>
      <w:pPr>
        <w:spacing w:after="0" w:line="2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for fiscal year 2019.</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advisory approval of the compensation of our named executive officers.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Avis Budget Group, Inc. Amended and Restated Equity and Incentive Plan.</w:t>
      </w:r>
    </w:p>
    <w:p>
      <w:pPr>
        <w:spacing w:after="0" w:line="238"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fixed the close of business on March 25, 2019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at the Meeting and for ten days prior to the Meeting during ordinary business hours at 6 Sylvan Way, Parsippany, New Jersey 07054, the Company’s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823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82359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Shareholder Meeting to Be Held on May 22, 2019:</w:t>
      </w:r>
    </w:p>
    <w:p>
      <w:pPr>
        <w:jc w:val="center"/>
        <w:ind w:right="-19"/>
        <w:spacing w:after="0" w:line="234" w:lineRule="auto"/>
        <w:rPr>
          <w:sz w:val="20"/>
          <w:szCs w:val="20"/>
          <w:color w:val="auto"/>
        </w:rPr>
      </w:pPr>
      <w:r>
        <w:rPr>
          <w:rFonts w:ascii="Arial" w:cs="Arial" w:eastAsia="Arial" w:hAnsi="Arial"/>
          <w:sz w:val="18"/>
          <w:szCs w:val="18"/>
          <w:b w:val="1"/>
          <w:bCs w:val="1"/>
          <w:color w:val="auto"/>
        </w:rPr>
        <w:t>The Company’s Proxy Statement on Schedule 14A,</w:t>
      </w:r>
    </w:p>
    <w:p>
      <w:pPr>
        <w:jc w:val="center"/>
        <w:ind w:right="-19"/>
        <w:spacing w:after="0" w:line="235" w:lineRule="auto"/>
        <w:rPr>
          <w:sz w:val="20"/>
          <w:szCs w:val="20"/>
          <w:color w:val="auto"/>
        </w:rPr>
      </w:pPr>
      <w:r>
        <w:rPr>
          <w:rFonts w:ascii="Arial" w:cs="Arial" w:eastAsia="Arial" w:hAnsi="Arial"/>
          <w:sz w:val="18"/>
          <w:szCs w:val="18"/>
          <w:b w:val="1"/>
          <w:bCs w:val="1"/>
          <w:color w:val="auto"/>
        </w:rPr>
        <w:t>form of proxy card and 2018 Annual Report on Form 10-K</w:t>
      </w:r>
    </w:p>
    <w:p>
      <w:pPr>
        <w:jc w:val="center"/>
        <w:ind w:right="-19"/>
        <w:spacing w:after="0" w:line="235" w:lineRule="auto"/>
        <w:rPr>
          <w:sz w:val="20"/>
          <w:szCs w:val="20"/>
          <w:color w:val="auto"/>
        </w:rPr>
      </w:pPr>
      <w:r>
        <w:rPr>
          <w:rFonts w:ascii="Arial" w:cs="Arial" w:eastAsia="Arial" w:hAnsi="Arial"/>
          <w:sz w:val="18"/>
          <w:szCs w:val="18"/>
          <w:b w:val="1"/>
          <w:bCs w:val="1"/>
          <w:color w:val="auto"/>
        </w:rPr>
        <w:t>are available at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www.edocumentview.com/CAR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1517650" cy="523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rPr>
          <w:sz w:val="20"/>
          <w:szCs w:val="20"/>
          <w:color w:val="auto"/>
        </w:rPr>
      </w:pPr>
      <w:r>
        <w:rPr>
          <w:rFonts w:ascii="Arial" w:cs="Arial" w:eastAsia="Arial" w:hAnsi="Arial"/>
          <w:sz w:val="18"/>
          <w:szCs w:val="18"/>
          <w:color w:val="auto"/>
        </w:rPr>
        <w:t>Senior Vice President &amp; Corporate Secretary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60" w:type="dxa"/>
            <w:vAlign w:val="bottom"/>
            <w:gridSpan w:val="8"/>
          </w:tcPr>
          <w:p>
            <w:pPr>
              <w:ind w:left="20"/>
              <w:spacing w:after="0"/>
              <w:rPr>
                <w:sz w:val="20"/>
                <w:szCs w:val="20"/>
                <w:color w:val="auto"/>
              </w:rPr>
            </w:pPr>
            <w:r>
              <w:rPr>
                <w:rFonts w:ascii="Arial" w:cs="Arial" w:eastAsia="Arial" w:hAnsi="Arial"/>
                <w:sz w:val="40"/>
                <w:szCs w:val="40"/>
                <w:color w:val="auto"/>
              </w:rPr>
              <w:t>Proxy Statement</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5"/>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40" w:type="dxa"/>
            <w:vAlign w:val="bottom"/>
            <w:gridSpan w:val="42"/>
          </w:tcPr>
          <w:p>
            <w:pPr>
              <w:ind w:left="300"/>
              <w:spacing w:after="0"/>
              <w:rPr>
                <w:sz w:val="20"/>
                <w:szCs w:val="20"/>
                <w:color w:val="auto"/>
              </w:rPr>
            </w:pPr>
            <w:r>
              <w:rPr>
                <w:rFonts w:ascii="Arial" w:cs="Arial" w:eastAsia="Arial" w:hAnsi="Arial"/>
                <w:sz w:val="36"/>
                <w:szCs w:val="36"/>
                <w:color w:val="auto"/>
              </w:rPr>
              <w:t>Table of Contents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100" w:type="dxa"/>
            <w:vAlign w:val="bottom"/>
            <w:gridSpan w:val="4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2019 Proxy Statement Summary</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74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About the Annual Meeting</w:t>
              </w:r>
            </w:hyperlink>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240" w:type="dxa"/>
            <w:vAlign w:val="bottom"/>
            <w:tcBorders>
              <w:top w:val="single" w:sz="8" w:color="0000EE"/>
            </w:tcBorders>
            <w:gridSpan w:val="12"/>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Proposals to Be Voted on</w:t>
              </w:r>
            </w:hyperlink>
          </w:p>
        </w:tc>
        <w:tc>
          <w:tcPr>
            <w:tcW w:w="7860" w:type="dxa"/>
            <w:vAlign w:val="bottom"/>
            <w:gridSpan w:val="32"/>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at Meeting</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308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b w:val="1"/>
                <w:bCs w:val="1"/>
                <w:color w:val="0000EE"/>
                <w:w w:val="99"/>
              </w:rPr>
            </w:pPr>
            <w:hyperlink w:anchor="page11">
              <w:r>
                <w:rPr>
                  <w:rFonts w:ascii="Arial" w:cs="Arial" w:eastAsia="Arial" w:hAnsi="Arial"/>
                  <w:sz w:val="18"/>
                  <w:szCs w:val="18"/>
                  <w:b w:val="1"/>
                  <w:bCs w:val="1"/>
                  <w:color w:val="0000EE"/>
                  <w:w w:val="99"/>
                </w:rPr>
                <w:t>Proposal No. 1 Election of Directors</w:t>
              </w:r>
            </w:hyperlink>
          </w:p>
        </w:tc>
        <w:tc>
          <w:tcPr>
            <w:tcW w:w="6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920" w:type="dxa"/>
            <w:vAlign w:val="bottom"/>
            <w:gridSpan w:val="43"/>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Biographical Information for Nominees</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06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Director Nomination Process</w:t>
              </w:r>
            </w:hyperlink>
          </w:p>
        </w:tc>
        <w:tc>
          <w:tcPr>
            <w:tcW w:w="6860" w:type="dxa"/>
            <w:vAlign w:val="bottom"/>
            <w:gridSpan w:val="17"/>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180" w:type="dxa"/>
            <w:vAlign w:val="bottom"/>
            <w:tcBorders>
              <w:bottom w:val="single" w:sz="8" w:color="0000EE"/>
            </w:tcBorders>
          </w:tcPr>
          <w:p>
            <w:pPr>
              <w:spacing w:after="0"/>
              <w:rPr>
                <w:sz w:val="15"/>
                <w:szCs w:val="15"/>
                <w:color w:val="auto"/>
              </w:rPr>
            </w:pPr>
          </w:p>
        </w:tc>
        <w:tc>
          <w:tcPr>
            <w:tcW w:w="17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b w:val="1"/>
                <w:bCs w:val="1"/>
                <w:color w:val="0000EE"/>
                <w:w w:val="90"/>
              </w:rPr>
            </w:pPr>
            <w:hyperlink w:anchor="page17">
              <w:r>
                <w:rPr>
                  <w:rFonts w:ascii="Arial" w:cs="Arial" w:eastAsia="Arial" w:hAnsi="Arial"/>
                  <w:sz w:val="18"/>
                  <w:szCs w:val="18"/>
                  <w:b w:val="1"/>
                  <w:bCs w:val="1"/>
                  <w:color w:val="0000EE"/>
                  <w:w w:val="90"/>
                </w:rPr>
                <w:t>Corporate Governance</w:t>
              </w:r>
            </w:hyperlink>
          </w:p>
        </w:tc>
        <w:tc>
          <w:tcPr>
            <w:tcW w:w="520" w:type="dxa"/>
            <w:vAlign w:val="bottom"/>
            <w:tcBorders>
              <w:top w:val="single" w:sz="8" w:color="0000EE"/>
            </w:tcBorders>
            <w:gridSpan w:val="9"/>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920" w:type="dxa"/>
            <w:vAlign w:val="bottom"/>
            <w:tcBorders>
              <w:bottom w:val="single" w:sz="8" w:color="0000EE"/>
            </w:tcBorders>
            <w:gridSpan w:val="33"/>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Functions and Meetings of the Board of Directors</w:t>
              </w:r>
            </w:hyperlink>
          </w:p>
        </w:tc>
        <w:tc>
          <w:tcPr>
            <w:tcW w:w="6000" w:type="dxa"/>
            <w:vAlign w:val="bottom"/>
            <w:gridSpan w:val="10"/>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Director Independence</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Risk Management and Risk Assessment</w:t>
              </w:r>
            </w:hyperlink>
          </w:p>
        </w:tc>
        <w:tc>
          <w:tcPr>
            <w:tcW w:w="6500" w:type="dxa"/>
            <w:vAlign w:val="bottom"/>
            <w:gridSpan w:val="14"/>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Communicating with the Board of Directors</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Codes of Conduct</w:t>
              </w:r>
            </w:hyperlink>
          </w:p>
        </w:tc>
        <w:tc>
          <w:tcPr>
            <w:tcW w:w="6320" w:type="dxa"/>
            <w:vAlign w:val="bottom"/>
            <w:gridSpan w:val="12"/>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Board of Directors Meetings</w:t>
              </w:r>
            </w:hyperlink>
          </w:p>
        </w:tc>
        <w:tc>
          <w:tcPr>
            <w:tcW w:w="7680" w:type="dxa"/>
            <w:vAlign w:val="bottom"/>
            <w:gridSpan w:val="29"/>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9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Committees of the Board of Directors</w:t>
              </w:r>
            </w:hyperlink>
          </w:p>
        </w:tc>
        <w:tc>
          <w:tcPr>
            <w:tcW w:w="6940" w:type="dxa"/>
            <w:vAlign w:val="bottom"/>
            <w:gridSpan w:val="18"/>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Audit Committee</w:t>
              </w:r>
            </w:hyperlink>
          </w:p>
        </w:tc>
        <w:tc>
          <w:tcPr>
            <w:tcW w:w="8400" w:type="dxa"/>
            <w:vAlign w:val="bottom"/>
            <w:gridSpan w:val="39"/>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Compensation Committee</w:t>
              </w:r>
            </w:hyperlink>
          </w:p>
        </w:tc>
        <w:tc>
          <w:tcPr>
            <w:tcW w:w="7640" w:type="dxa"/>
            <w:vAlign w:val="bottom"/>
            <w:gridSpan w:val="27"/>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Corporate Governance Committee</w:t>
              </w:r>
            </w:hyperlink>
          </w:p>
        </w:tc>
        <w:tc>
          <w:tcPr>
            <w:tcW w:w="6980" w:type="dxa"/>
            <w:vAlign w:val="bottom"/>
            <w:gridSpan w:val="20"/>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40" w:type="dxa"/>
            <w:vAlign w:val="bottom"/>
            <w:gridSpan w:val="42"/>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Executive Committee</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6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Succession Planning</w:t>
              </w:r>
            </w:hyperlink>
          </w:p>
        </w:tc>
        <w:tc>
          <w:tcPr>
            <w:tcW w:w="8240" w:type="dxa"/>
            <w:vAlign w:val="bottom"/>
            <w:gridSpan w:val="37"/>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920" w:type="dxa"/>
            <w:vAlign w:val="bottom"/>
            <w:gridSpan w:val="43"/>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Related Person Transactions</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08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Shareholder Engagement</w:t>
              </w:r>
            </w:hyperlink>
          </w:p>
        </w:tc>
        <w:tc>
          <w:tcPr>
            <w:tcW w:w="300" w:type="dxa"/>
            <w:vAlign w:val="bottom"/>
            <w:tcBorders>
              <w:top w:val="single" w:sz="8" w:color="0000EE"/>
            </w:tcBorders>
            <w:gridSpan w:val="6"/>
          </w:tcPr>
          <w:p>
            <w:pPr>
              <w:spacing w:after="0"/>
              <w:rPr>
                <w:sz w:val="15"/>
                <w:szCs w:val="15"/>
                <w:color w:val="auto"/>
              </w:rPr>
            </w:pPr>
          </w:p>
        </w:tc>
        <w:tc>
          <w:tcPr>
            <w:tcW w:w="7540" w:type="dxa"/>
            <w:vAlign w:val="bottom"/>
            <w:gridSpan w:val="25"/>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10100" w:type="dxa"/>
            <w:vAlign w:val="bottom"/>
            <w:gridSpan w:val="44"/>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Security Ownership of Certain Beneficial Owners</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4200" w:type="dxa"/>
            <w:vAlign w:val="bottom"/>
            <w:tcBorders>
              <w:top w:val="single" w:sz="8" w:color="0000EE"/>
            </w:tcBorders>
            <w:gridSpan w:val="35"/>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Section 16(a) Beneficial Ownership Reporting</w:t>
              </w:r>
            </w:hyperlink>
          </w:p>
        </w:tc>
        <w:tc>
          <w:tcPr>
            <w:tcW w:w="5900" w:type="dxa"/>
            <w:vAlign w:val="bottom"/>
            <w:gridSpan w:val="9"/>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Compliance</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5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Executive Officers</w:t>
              </w:r>
            </w:hyperlink>
          </w:p>
        </w:tc>
        <w:tc>
          <w:tcPr>
            <w:tcW w:w="3400" w:type="dxa"/>
            <w:vAlign w:val="bottom"/>
            <w:tcBorders>
              <w:top w:val="single" w:sz="8" w:color="0000EE"/>
            </w:tcBorders>
            <w:gridSpan w:val="35"/>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10100" w:type="dxa"/>
            <w:vAlign w:val="bottom"/>
            <w:gridSpan w:val="44"/>
          </w:tcPr>
          <w:p>
            <w:pPr>
              <w:spacing w:after="0" w:line="182"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Executive Compensation</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16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Compensation Discussion and Analysis</w:t>
              </w:r>
            </w:hyperlink>
          </w:p>
        </w:tc>
        <w:tc>
          <w:tcPr>
            <w:tcW w:w="6760" w:type="dxa"/>
            <w:vAlign w:val="bottom"/>
            <w:gridSpan w:val="16"/>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920" w:type="dxa"/>
            <w:vAlign w:val="bottom"/>
            <w:gridSpan w:val="43"/>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Summary Compensation Table</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All Other Compensation Table</w:t>
              </w:r>
            </w:hyperlink>
          </w:p>
        </w:tc>
        <w:tc>
          <w:tcPr>
            <w:tcW w:w="60" w:type="dxa"/>
            <w:vAlign w:val="bottom"/>
            <w:tcBorders>
              <w:top w:val="single" w:sz="8" w:color="0000EE"/>
            </w:tcBorders>
          </w:tcPr>
          <w:p>
            <w:pPr>
              <w:spacing w:after="0"/>
              <w:rPr>
                <w:sz w:val="15"/>
                <w:szCs w:val="15"/>
                <w:color w:val="auto"/>
              </w:rPr>
            </w:pPr>
          </w:p>
        </w:tc>
        <w:tc>
          <w:tcPr>
            <w:tcW w:w="7460" w:type="dxa"/>
            <w:vAlign w:val="bottom"/>
            <w:gridSpan w:val="23"/>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38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Perquisites Table</w:t>
              </w:r>
            </w:hyperlink>
          </w:p>
        </w:tc>
        <w:tc>
          <w:tcPr>
            <w:tcW w:w="8540" w:type="dxa"/>
            <w:vAlign w:val="bottom"/>
            <w:gridSpan w:val="41"/>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920" w:type="dxa"/>
            <w:vAlign w:val="bottom"/>
            <w:gridSpan w:val="43"/>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2018 Grants of Plan-Based Awards Table</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40" w:type="dxa"/>
            <w:vAlign w:val="bottom"/>
            <w:gridSpan w:val="1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180" w:type="dxa"/>
            <w:vAlign w:val="bottom"/>
            <w:tcBorders>
              <w:bottom w:val="single" w:sz="8" w:color="0000EE"/>
            </w:tcBorders>
            <w:gridSpan w:val="36"/>
          </w:tcPr>
          <w:p>
            <w:pPr>
              <w:spacing w:after="0" w:line="182" w:lineRule="exact"/>
              <w:rPr>
                <w:rFonts w:ascii="Arial" w:cs="Arial" w:eastAsia="Arial" w:hAnsi="Arial"/>
                <w:sz w:val="18"/>
                <w:szCs w:val="18"/>
                <w:color w:val="0000EE"/>
                <w:w w:val="98"/>
              </w:rPr>
            </w:pPr>
            <w:hyperlink w:anchor="page40">
              <w:r>
                <w:rPr>
                  <w:rFonts w:ascii="Arial" w:cs="Arial" w:eastAsia="Arial" w:hAnsi="Arial"/>
                  <w:sz w:val="18"/>
                  <w:szCs w:val="18"/>
                  <w:color w:val="0000EE"/>
                  <w:w w:val="98"/>
                </w:rPr>
                <w:t>Outstanding Equity Awards at Fiscal Year-End Table</w:t>
              </w:r>
            </w:hyperlink>
          </w:p>
        </w:tc>
        <w:tc>
          <w:tcPr>
            <w:tcW w:w="5740" w:type="dxa"/>
            <w:vAlign w:val="bottom"/>
            <w:gridSpan w:val="7"/>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760" w:type="dxa"/>
            <w:vAlign w:val="bottom"/>
            <w:tcBorders>
              <w:bottom w:val="single" w:sz="8" w:color="0000EE"/>
            </w:tcBorders>
            <w:gridSpan w:val="32"/>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2018 Option Exercises and Stock Vested Table</w:t>
              </w:r>
            </w:hyperlink>
          </w:p>
        </w:tc>
        <w:tc>
          <w:tcPr>
            <w:tcW w:w="6160" w:type="dxa"/>
            <w:vAlign w:val="bottom"/>
            <w:gridSpan w:val="11"/>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Pension Benefits Table</w:t>
              </w:r>
            </w:hyperlink>
          </w:p>
        </w:tc>
        <w:tc>
          <w:tcPr>
            <w:tcW w:w="8040" w:type="dxa"/>
            <w:vAlign w:val="bottom"/>
            <w:gridSpan w:val="34"/>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352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Non-qualified Deferred Compensation Table</w:t>
              </w:r>
            </w:hyperlink>
          </w:p>
        </w:tc>
        <w:tc>
          <w:tcPr>
            <w:tcW w:w="6400" w:type="dxa"/>
            <w:vAlign w:val="bottom"/>
            <w:gridSpan w:val="13"/>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06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Employment Agreements and Other Arrangements</w:t>
              </w:r>
            </w:hyperlink>
          </w:p>
        </w:tc>
        <w:tc>
          <w:tcPr>
            <w:tcW w:w="5860" w:type="dxa"/>
            <w:vAlign w:val="bottom"/>
            <w:gridSpan w:val="8"/>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9920" w:type="dxa"/>
            <w:vAlign w:val="bottom"/>
            <w:gridSpan w:val="4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Termination, Severance and Change of Control Arrangements</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60" w:type="dxa"/>
            <w:vAlign w:val="bottom"/>
            <w:gridSpan w:val="18"/>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40" w:type="dxa"/>
            <w:vAlign w:val="bottom"/>
            <w:vMerge w:val="restart"/>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gridSpan w:val="40"/>
          </w:tcPr>
          <w:p>
            <w:pPr>
              <w:spacing w:after="0" w:line="18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2018 Director Compensation</w:t>
              </w:r>
            </w:hyperlink>
          </w:p>
        </w:tc>
        <w:tc>
          <w:tcPr>
            <w:tcW w:w="20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2440" w:type="dxa"/>
            <w:vAlign w:val="bottom"/>
            <w:tcBorders>
              <w:top w:val="single" w:sz="8" w:color="0000EE"/>
            </w:tcBorders>
            <w:gridSpan w:val="16"/>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Report of Audit Committee</w:t>
              </w:r>
            </w:hyperlink>
          </w:p>
        </w:tc>
        <w:tc>
          <w:tcPr>
            <w:tcW w:w="1660" w:type="dxa"/>
            <w:vAlign w:val="bottom"/>
            <w:gridSpan w:val="18"/>
          </w:tcPr>
          <w:p>
            <w:pPr>
              <w:spacing w:after="0"/>
              <w:rPr>
                <w:sz w:val="15"/>
                <w:szCs w:val="15"/>
                <w:color w:val="auto"/>
              </w:rPr>
            </w:pPr>
          </w:p>
        </w:tc>
        <w:tc>
          <w:tcPr>
            <w:tcW w:w="580" w:type="dxa"/>
            <w:vAlign w:val="bottom"/>
            <w:gridSpan w:val="4"/>
          </w:tcPr>
          <w:p>
            <w:pPr>
              <w:spacing w:after="0"/>
              <w:rPr>
                <w:sz w:val="15"/>
                <w:szCs w:val="15"/>
                <w:color w:val="auto"/>
              </w:rPr>
            </w:pPr>
          </w:p>
        </w:tc>
        <w:tc>
          <w:tcPr>
            <w:tcW w:w="640" w:type="dxa"/>
            <w:vAlign w:val="bottom"/>
            <w:gridSpan w:val="3"/>
          </w:tcPr>
          <w:p>
            <w:pPr>
              <w:spacing w:after="0"/>
              <w:rPr>
                <w:sz w:val="15"/>
                <w:szCs w:val="15"/>
                <w:color w:val="auto"/>
              </w:rPr>
            </w:pPr>
          </w:p>
        </w:tc>
        <w:tc>
          <w:tcPr>
            <w:tcW w:w="2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2300" w:type="dxa"/>
            <w:vAlign w:val="bottom"/>
            <w:tcBorders>
              <w:top w:val="single" w:sz="8" w:color="0000EE"/>
            </w:tcBorders>
            <w:gridSpan w:val="14"/>
          </w:tcPr>
          <w:p>
            <w:pPr>
              <w:spacing w:after="0" w:line="182" w:lineRule="exact"/>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Proposal No. 2 Ratification</w:t>
              </w:r>
            </w:hyperlink>
          </w:p>
        </w:tc>
        <w:tc>
          <w:tcPr>
            <w:tcW w:w="7800" w:type="dxa"/>
            <w:vAlign w:val="bottom"/>
            <w:gridSpan w:val="30"/>
          </w:tcPr>
          <w:p>
            <w:pPr>
              <w:ind w:left="40"/>
              <w:spacing w:after="0" w:line="18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of Appointment of Auditors</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2180" w:type="dxa"/>
            <w:vAlign w:val="bottom"/>
            <w:gridSpan w:val="2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100" w:type="dxa"/>
            <w:vAlign w:val="bottom"/>
            <w:gridSpan w:val="44"/>
          </w:tcPr>
          <w:p>
            <w:pPr>
              <w:spacing w:after="0" w:line="18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Proposal No. 3 Advisory Approval of Executive Compensation</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2180" w:type="dxa"/>
            <w:vAlign w:val="bottom"/>
            <w:gridSpan w:val="26"/>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100" w:type="dxa"/>
            <w:vAlign w:val="bottom"/>
            <w:gridSpan w:val="44"/>
          </w:tcPr>
          <w:p>
            <w:pPr>
              <w:spacing w:after="0" w:line="18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Proposal No. 4 Approval of The Avis Budget Group, Inc. Amended and Restated Equity and Incentive Plan</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9060" w:type="dxa"/>
            <w:vAlign w:val="bottom"/>
            <w:tcBorders>
              <w:top w:val="single" w:sz="8" w:color="0000EE"/>
            </w:tcBorders>
            <w:gridSpan w:val="43"/>
          </w:tcPr>
          <w:p>
            <w:pPr>
              <w:spacing w:after="0" w:line="182"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Shareholder Proposals for 2020 Annual Meeting</w:t>
              </w:r>
            </w:hyperlink>
          </w:p>
        </w:tc>
        <w:tc>
          <w:tcPr>
            <w:tcW w:w="104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4100" w:type="dxa"/>
            <w:vAlign w:val="bottom"/>
            <w:tcBorders>
              <w:top w:val="single" w:sz="8" w:color="0000EE"/>
            </w:tcBorders>
            <w:gridSpan w:val="34"/>
          </w:tcPr>
          <w:p>
            <w:pPr>
              <w:spacing w:after="0" w:line="182"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Additional Information</w:t>
              </w:r>
            </w:hyperlink>
          </w:p>
        </w:tc>
        <w:tc>
          <w:tcPr>
            <w:tcW w:w="3660" w:type="dxa"/>
            <w:vAlign w:val="bottom"/>
            <w:gridSpan w:val="8"/>
          </w:tcPr>
          <w:p>
            <w:pPr>
              <w:spacing w:after="0"/>
              <w:rPr>
                <w:sz w:val="15"/>
                <w:szCs w:val="15"/>
                <w:color w:val="auto"/>
              </w:rPr>
            </w:pPr>
          </w:p>
        </w:tc>
        <w:tc>
          <w:tcPr>
            <w:tcW w:w="2340" w:type="dxa"/>
            <w:vAlign w:val="bottom"/>
            <w:gridSpan w:val="2"/>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5840" w:type="dxa"/>
            <w:vAlign w:val="bottom"/>
            <w:gridSpan w:val="3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100" w:type="dxa"/>
            <w:vAlign w:val="bottom"/>
            <w:gridSpan w:val="44"/>
          </w:tcPr>
          <w:p>
            <w:pPr>
              <w:spacing w:after="0" w:line="182"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 xml:space="preserve">ANNEX A – </w:t>
              </w:r>
              <w:r>
                <w:rPr>
                  <w:rFonts w:ascii="Arial" w:cs="Arial" w:eastAsia="Arial" w:hAnsi="Arial"/>
                  <w:sz w:val="18"/>
                  <w:szCs w:val="18"/>
                  <w:color w:val="0000EE"/>
                </w:rPr>
                <w:t>Proposed Avis Budget Group, Inc. Amended and Restated Equity and Incentive Plan</w:t>
              </w:r>
            </w:hyperlink>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84"/>
        </w:trPr>
        <w:tc>
          <w:tcPr>
            <w:tcW w:w="180" w:type="dxa"/>
            <w:vAlign w:val="bottom"/>
            <w:tcBorders>
              <w:top w:val="single" w:sz="8" w:color="0000EE"/>
              <w:bottom w:val="single" w:sz="8" w:color="C0C0C0"/>
            </w:tcBorders>
          </w:tcPr>
          <w:p>
            <w:pPr>
              <w:spacing w:after="0"/>
              <w:rPr>
                <w:sz w:val="24"/>
                <w:szCs w:val="24"/>
                <w:color w:val="auto"/>
              </w:rPr>
            </w:pPr>
          </w:p>
        </w:tc>
        <w:tc>
          <w:tcPr>
            <w:tcW w:w="180" w:type="dxa"/>
            <w:vAlign w:val="bottom"/>
            <w:tcBorders>
              <w:top w:val="single" w:sz="8" w:color="0000EE"/>
              <w:bottom w:val="single" w:sz="8" w:color="C0C0C0"/>
            </w:tcBorders>
          </w:tcPr>
          <w:p>
            <w:pPr>
              <w:spacing w:after="0"/>
              <w:rPr>
                <w:sz w:val="24"/>
                <w:szCs w:val="24"/>
                <w:color w:val="auto"/>
              </w:rPr>
            </w:pPr>
          </w:p>
        </w:tc>
        <w:tc>
          <w:tcPr>
            <w:tcW w:w="120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12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60" w:type="dxa"/>
            <w:vAlign w:val="bottom"/>
            <w:tcBorders>
              <w:top w:val="single" w:sz="8" w:color="0000EE"/>
              <w:bottom w:val="single" w:sz="8" w:color="C0C0C0"/>
            </w:tcBorders>
          </w:tcPr>
          <w:p>
            <w:pPr>
              <w:spacing w:after="0"/>
              <w:rPr>
                <w:sz w:val="24"/>
                <w:szCs w:val="24"/>
                <w:color w:val="auto"/>
              </w:rPr>
            </w:pPr>
          </w:p>
        </w:tc>
        <w:tc>
          <w:tcPr>
            <w:tcW w:w="60" w:type="dxa"/>
            <w:vAlign w:val="bottom"/>
            <w:tcBorders>
              <w:top w:val="single" w:sz="8" w:color="0000EE"/>
              <w:bottom w:val="single" w:sz="8" w:color="C0C0C0"/>
            </w:tcBorders>
          </w:tcPr>
          <w:p>
            <w:pPr>
              <w:spacing w:after="0"/>
              <w:rPr>
                <w:sz w:val="24"/>
                <w:szCs w:val="24"/>
                <w:color w:val="auto"/>
              </w:rPr>
            </w:pPr>
          </w:p>
        </w:tc>
        <w:tc>
          <w:tcPr>
            <w:tcW w:w="4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8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40" w:type="dxa"/>
            <w:vAlign w:val="bottom"/>
            <w:tcBorders>
              <w:top w:val="single" w:sz="8" w:color="0000EE"/>
              <w:bottom w:val="single" w:sz="8" w:color="C0C0C0"/>
            </w:tcBorders>
          </w:tcPr>
          <w:p>
            <w:pPr>
              <w:spacing w:after="0"/>
              <w:rPr>
                <w:sz w:val="24"/>
                <w:szCs w:val="24"/>
                <w:color w:val="auto"/>
              </w:rPr>
            </w:pPr>
          </w:p>
        </w:tc>
        <w:tc>
          <w:tcPr>
            <w:tcW w:w="12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8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6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340" w:type="dxa"/>
            <w:vAlign w:val="bottom"/>
            <w:tcBorders>
              <w:top w:val="single" w:sz="8" w:color="0000EE"/>
              <w:bottom w:val="single" w:sz="8" w:color="C0C0C0"/>
            </w:tcBorders>
          </w:tcPr>
          <w:p>
            <w:pPr>
              <w:spacing w:after="0"/>
              <w:rPr>
                <w:sz w:val="24"/>
                <w:szCs w:val="24"/>
                <w:color w:val="auto"/>
              </w:rPr>
            </w:pPr>
          </w:p>
        </w:tc>
        <w:tc>
          <w:tcPr>
            <w:tcW w:w="4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8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140" w:type="dxa"/>
            <w:vAlign w:val="bottom"/>
            <w:tcBorders>
              <w:top w:val="single" w:sz="8" w:color="0000EE"/>
              <w:bottom w:val="single" w:sz="8" w:color="C0C0C0"/>
            </w:tcBorders>
          </w:tcPr>
          <w:p>
            <w:pPr>
              <w:spacing w:after="0"/>
              <w:rPr>
                <w:sz w:val="24"/>
                <w:szCs w:val="24"/>
                <w:color w:val="auto"/>
              </w:rPr>
            </w:pPr>
          </w:p>
        </w:tc>
        <w:tc>
          <w:tcPr>
            <w:tcW w:w="12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80" w:type="dxa"/>
            <w:vAlign w:val="bottom"/>
            <w:tcBorders>
              <w:top w:val="single" w:sz="8" w:color="0000EE"/>
              <w:bottom w:val="single" w:sz="8" w:color="C0C0C0"/>
            </w:tcBorders>
          </w:tcPr>
          <w:p>
            <w:pPr>
              <w:spacing w:after="0"/>
              <w:rPr>
                <w:sz w:val="24"/>
                <w:szCs w:val="24"/>
                <w:color w:val="auto"/>
              </w:rPr>
            </w:pPr>
          </w:p>
        </w:tc>
        <w:tc>
          <w:tcPr>
            <w:tcW w:w="160" w:type="dxa"/>
            <w:vAlign w:val="bottom"/>
            <w:tcBorders>
              <w:top w:val="single" w:sz="8" w:color="0000EE"/>
              <w:bottom w:val="single" w:sz="8" w:color="C0C0C0"/>
            </w:tcBorders>
          </w:tcPr>
          <w:p>
            <w:pPr>
              <w:spacing w:after="0"/>
              <w:rPr>
                <w:sz w:val="24"/>
                <w:szCs w:val="24"/>
                <w:color w:val="auto"/>
              </w:rPr>
            </w:pPr>
          </w:p>
        </w:tc>
        <w:tc>
          <w:tcPr>
            <w:tcW w:w="16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40" w:type="dxa"/>
            <w:vAlign w:val="bottom"/>
            <w:tcBorders>
              <w:top w:val="single" w:sz="8" w:color="0000EE"/>
              <w:bottom w:val="single" w:sz="8" w:color="C0C0C0"/>
            </w:tcBorders>
          </w:tcPr>
          <w:p>
            <w:pPr>
              <w:spacing w:after="0"/>
              <w:rPr>
                <w:sz w:val="24"/>
                <w:szCs w:val="24"/>
                <w:color w:val="auto"/>
              </w:rPr>
            </w:pPr>
          </w:p>
        </w:tc>
        <w:tc>
          <w:tcPr>
            <w:tcW w:w="120" w:type="dxa"/>
            <w:vAlign w:val="bottom"/>
            <w:tcBorders>
              <w:top w:val="single" w:sz="8" w:color="0000EE"/>
              <w:bottom w:val="single" w:sz="8" w:color="C0C0C0"/>
            </w:tcBorders>
          </w:tcPr>
          <w:p>
            <w:pPr>
              <w:spacing w:after="0"/>
              <w:rPr>
                <w:sz w:val="24"/>
                <w:szCs w:val="24"/>
                <w:color w:val="auto"/>
              </w:rPr>
            </w:pPr>
          </w:p>
        </w:tc>
        <w:tc>
          <w:tcPr>
            <w:tcW w:w="320" w:type="dxa"/>
            <w:vAlign w:val="bottom"/>
            <w:tcBorders>
              <w:top w:val="single" w:sz="8" w:color="0000EE"/>
              <w:bottom w:val="single" w:sz="8" w:color="C0C0C0"/>
            </w:tcBorders>
          </w:tcPr>
          <w:p>
            <w:pPr>
              <w:spacing w:after="0"/>
              <w:rPr>
                <w:sz w:val="24"/>
                <w:szCs w:val="24"/>
                <w:color w:val="auto"/>
              </w:rPr>
            </w:pPr>
          </w:p>
        </w:tc>
        <w:tc>
          <w:tcPr>
            <w:tcW w:w="300" w:type="dxa"/>
            <w:vAlign w:val="bottom"/>
            <w:tcBorders>
              <w:top w:val="single" w:sz="8" w:color="0000EE"/>
              <w:bottom w:val="single" w:sz="8" w:color="C0C0C0"/>
            </w:tcBorders>
          </w:tcPr>
          <w:p>
            <w:pPr>
              <w:spacing w:after="0"/>
              <w:rPr>
                <w:sz w:val="24"/>
                <w:szCs w:val="24"/>
                <w:color w:val="auto"/>
              </w:rPr>
            </w:pPr>
          </w:p>
        </w:tc>
        <w:tc>
          <w:tcPr>
            <w:tcW w:w="140" w:type="dxa"/>
            <w:vAlign w:val="bottom"/>
            <w:tcBorders>
              <w:top w:val="single" w:sz="8" w:color="0000EE"/>
              <w:bottom w:val="single" w:sz="8" w:color="C0C0C0"/>
            </w:tcBorders>
          </w:tcPr>
          <w:p>
            <w:pPr>
              <w:spacing w:after="0"/>
              <w:rPr>
                <w:sz w:val="24"/>
                <w:szCs w:val="24"/>
                <w:color w:val="auto"/>
              </w:rPr>
            </w:pPr>
          </w:p>
        </w:tc>
        <w:tc>
          <w:tcPr>
            <w:tcW w:w="200" w:type="dxa"/>
            <w:vAlign w:val="bottom"/>
            <w:tcBorders>
              <w:top w:val="single" w:sz="8" w:color="0000EE"/>
              <w:bottom w:val="single" w:sz="8" w:color="C0C0C0"/>
            </w:tcBorders>
          </w:tcPr>
          <w:p>
            <w:pPr>
              <w:spacing w:after="0"/>
              <w:rPr>
                <w:sz w:val="24"/>
                <w:szCs w:val="24"/>
                <w:color w:val="auto"/>
              </w:rPr>
            </w:pPr>
          </w:p>
        </w:tc>
        <w:tc>
          <w:tcPr>
            <w:tcW w:w="2440" w:type="dxa"/>
            <w:vAlign w:val="bottom"/>
            <w:tcBorders>
              <w:top w:val="single" w:sz="8" w:color="0000EE"/>
              <w:bottom w:val="single" w:sz="8" w:color="C0C0C0"/>
            </w:tcBorders>
          </w:tcPr>
          <w:p>
            <w:pPr>
              <w:spacing w:after="0"/>
              <w:rPr>
                <w:sz w:val="24"/>
                <w:szCs w:val="24"/>
                <w:color w:val="auto"/>
              </w:rPr>
            </w:pPr>
          </w:p>
        </w:tc>
        <w:tc>
          <w:tcPr>
            <w:tcW w:w="1300" w:type="dxa"/>
            <w:vAlign w:val="bottom"/>
            <w:tcBorders>
              <w:bottom w:val="single" w:sz="8" w:color="C0C0C0"/>
            </w:tcBorders>
          </w:tcPr>
          <w:p>
            <w:pPr>
              <w:spacing w:after="0"/>
              <w:rPr>
                <w:sz w:val="24"/>
                <w:szCs w:val="24"/>
                <w:color w:val="auto"/>
              </w:rPr>
            </w:pPr>
          </w:p>
        </w:tc>
        <w:tc>
          <w:tcPr>
            <w:tcW w:w="1040" w:type="dxa"/>
            <w:vAlign w:val="bottom"/>
            <w:tcBorders>
              <w:bottom w:val="single" w:sz="8" w:color="C0C0C0"/>
            </w:tcBorders>
          </w:tcPr>
          <w:p>
            <w:pPr>
              <w:spacing w:after="0"/>
              <w:rPr>
                <w:sz w:val="24"/>
                <w:szCs w:val="24"/>
                <w:color w:val="auto"/>
              </w:rPr>
            </w:pPr>
          </w:p>
        </w:tc>
        <w:tc>
          <w:tcPr>
            <w:tcW w:w="132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2019 Proxy Statement Summary</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which includes a definition and reconciliation of Adjusted EBITDA. This summary does not contain all of the information that you should consider and you should read the entire Proxy Statement carefully before voting.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0" w:type="dxa"/>
            <w:vAlign w:val="bottom"/>
          </w:tcPr>
          <w:p>
            <w:pPr>
              <w:ind w:left="160"/>
              <w:spacing w:after="0"/>
              <w:rPr>
                <w:sz w:val="20"/>
                <w:szCs w:val="20"/>
                <w:color w:val="auto"/>
              </w:rPr>
            </w:pPr>
            <w:r>
              <w:rPr>
                <w:rFonts w:ascii="Arial" w:cs="Arial" w:eastAsia="Arial" w:hAnsi="Arial"/>
                <w:sz w:val="18"/>
                <w:szCs w:val="18"/>
                <w:color w:val="auto"/>
              </w:rPr>
              <w:t>Date and Time</w:t>
            </w:r>
          </w:p>
        </w:tc>
        <w:tc>
          <w:tcPr>
            <w:tcW w:w="3480" w:type="dxa"/>
            <w:vAlign w:val="bottom"/>
          </w:tcPr>
          <w:p>
            <w:pPr>
              <w:ind w:left="280"/>
              <w:spacing w:after="0"/>
              <w:rPr>
                <w:sz w:val="20"/>
                <w:szCs w:val="20"/>
                <w:color w:val="auto"/>
              </w:rPr>
            </w:pPr>
            <w:r>
              <w:rPr>
                <w:rFonts w:ascii="Arial" w:cs="Arial" w:eastAsia="Arial" w:hAnsi="Arial"/>
                <w:sz w:val="18"/>
                <w:szCs w:val="18"/>
                <w:color w:val="auto"/>
                <w:w w:val="99"/>
              </w:rPr>
              <w:t>May 22, 2019 at 9:00 a.m. Eastern Time</w:t>
            </w:r>
          </w:p>
        </w:tc>
        <w:tc>
          <w:tcPr>
            <w:tcW w:w="0" w:type="dxa"/>
            <w:vAlign w:val="bottom"/>
          </w:tcPr>
          <w:p>
            <w:pPr>
              <w:spacing w:after="0"/>
              <w:rPr>
                <w:sz w:val="1"/>
                <w:szCs w:val="1"/>
                <w:color w:val="auto"/>
              </w:rPr>
            </w:pPr>
          </w:p>
        </w:tc>
      </w:tr>
      <w:tr>
        <w:trPr>
          <w:trHeight w:val="404"/>
        </w:trPr>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0" w:type="dxa"/>
            <w:vAlign w:val="bottom"/>
          </w:tcPr>
          <w:p>
            <w:pPr>
              <w:ind w:left="160"/>
              <w:spacing w:after="0"/>
              <w:rPr>
                <w:sz w:val="20"/>
                <w:szCs w:val="20"/>
                <w:color w:val="auto"/>
              </w:rPr>
            </w:pPr>
            <w:r>
              <w:rPr>
                <w:rFonts w:ascii="Arial" w:cs="Arial" w:eastAsia="Arial" w:hAnsi="Arial"/>
                <w:sz w:val="18"/>
                <w:szCs w:val="18"/>
                <w:color w:val="auto"/>
              </w:rPr>
              <w:t>Place</w:t>
            </w:r>
          </w:p>
        </w:tc>
        <w:tc>
          <w:tcPr>
            <w:tcW w:w="3480" w:type="dxa"/>
            <w:vAlign w:val="bottom"/>
          </w:tcPr>
          <w:p>
            <w:pPr>
              <w:ind w:left="280"/>
              <w:spacing w:after="0"/>
              <w:rPr>
                <w:sz w:val="20"/>
                <w:szCs w:val="20"/>
                <w:color w:val="auto"/>
              </w:rPr>
            </w:pPr>
            <w:r>
              <w:rPr>
                <w:rFonts w:ascii="Arial" w:cs="Arial" w:eastAsia="Arial" w:hAnsi="Arial"/>
                <w:sz w:val="18"/>
                <w:szCs w:val="18"/>
                <w:color w:val="auto"/>
              </w:rPr>
              <w:t>Kirkland &amp; Ellis LLP</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80" w:type="dxa"/>
            <w:vAlign w:val="bottom"/>
          </w:tcPr>
          <w:p>
            <w:pPr>
              <w:ind w:left="280"/>
              <w:spacing w:after="0" w:line="202" w:lineRule="exact"/>
              <w:rPr>
                <w:sz w:val="20"/>
                <w:szCs w:val="20"/>
                <w:color w:val="auto"/>
              </w:rPr>
            </w:pPr>
            <w:r>
              <w:rPr>
                <w:rFonts w:ascii="Arial" w:cs="Arial" w:eastAsia="Arial" w:hAnsi="Arial"/>
                <w:sz w:val="18"/>
                <w:szCs w:val="18"/>
                <w:color w:val="auto"/>
              </w:rPr>
              <w:t>601 Lexington Avenue</w:t>
            </w:r>
          </w:p>
        </w:tc>
        <w:tc>
          <w:tcPr>
            <w:tcW w:w="0" w:type="dxa"/>
            <w:vAlign w:val="bottom"/>
          </w:tcPr>
          <w:p>
            <w:pPr>
              <w:spacing w:after="0"/>
              <w:rPr>
                <w:sz w:val="1"/>
                <w:szCs w:val="1"/>
                <w:color w:val="auto"/>
              </w:rPr>
            </w:pPr>
          </w:p>
        </w:tc>
      </w:tr>
      <w:tr>
        <w:trPr>
          <w:trHeight w:val="216"/>
        </w:trPr>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600" w:type="dxa"/>
            <w:vAlign w:val="bottom"/>
          </w:tcPr>
          <w:p>
            <w:pPr>
              <w:spacing w:after="0"/>
              <w:rPr>
                <w:sz w:val="18"/>
                <w:szCs w:val="18"/>
                <w:color w:val="auto"/>
              </w:rPr>
            </w:pPr>
          </w:p>
        </w:tc>
        <w:tc>
          <w:tcPr>
            <w:tcW w:w="3480" w:type="dxa"/>
            <w:vAlign w:val="bottom"/>
          </w:tcPr>
          <w:p>
            <w:pPr>
              <w:ind w:left="280"/>
              <w:spacing w:after="0"/>
              <w:rPr>
                <w:sz w:val="20"/>
                <w:szCs w:val="20"/>
                <w:color w:val="auto"/>
              </w:rPr>
            </w:pPr>
            <w:r>
              <w:rPr>
                <w:rFonts w:ascii="Arial" w:cs="Arial" w:eastAsia="Arial" w:hAnsi="Arial"/>
                <w:sz w:val="18"/>
                <w:szCs w:val="18"/>
                <w:color w:val="auto"/>
              </w:rPr>
              <w:t>New York, New York</w:t>
            </w:r>
          </w:p>
        </w:tc>
        <w:tc>
          <w:tcPr>
            <w:tcW w:w="0" w:type="dxa"/>
            <w:vAlign w:val="bottom"/>
          </w:tcPr>
          <w:p>
            <w:pPr>
              <w:spacing w:after="0"/>
              <w:rPr>
                <w:sz w:val="1"/>
                <w:szCs w:val="1"/>
                <w:color w:val="auto"/>
              </w:rPr>
            </w:pPr>
          </w:p>
        </w:tc>
      </w:tr>
      <w:tr>
        <w:trPr>
          <w:trHeight w:val="217"/>
        </w:trPr>
        <w:tc>
          <w:tcPr>
            <w:tcW w:w="200" w:type="dxa"/>
            <w:vAlign w:val="bottom"/>
            <w:vMerge w:val="continue"/>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color w:val="auto"/>
              </w:rPr>
              <w:t>Record Date</w:t>
            </w:r>
          </w:p>
        </w:tc>
        <w:tc>
          <w:tcPr>
            <w:tcW w:w="3480" w:type="dxa"/>
            <w:vAlign w:val="bottom"/>
          </w:tcPr>
          <w:p>
            <w:pPr>
              <w:ind w:left="280"/>
              <w:spacing w:after="0"/>
              <w:rPr>
                <w:sz w:val="20"/>
                <w:szCs w:val="20"/>
                <w:color w:val="auto"/>
              </w:rPr>
            </w:pPr>
            <w:r>
              <w:rPr>
                <w:rFonts w:ascii="Arial" w:cs="Arial" w:eastAsia="Arial" w:hAnsi="Arial"/>
                <w:sz w:val="18"/>
                <w:szCs w:val="18"/>
                <w:color w:val="auto"/>
              </w:rPr>
              <w:t>March 25, 2019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Matters and Voting Recommendations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46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Proposal</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Our Board’s Voting</w:t>
            </w:r>
          </w:p>
        </w:tc>
      </w:tr>
      <w:tr>
        <w:trPr>
          <w:trHeight w:val="232"/>
        </w:trPr>
        <w:tc>
          <w:tcPr>
            <w:tcW w:w="7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Voting Matters</w:t>
            </w:r>
          </w:p>
        </w:tc>
        <w:tc>
          <w:tcPr>
            <w:tcW w:w="14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6"/>
              </w:rPr>
              <w:t>No.</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Recommendation</w:t>
            </w:r>
          </w:p>
        </w:tc>
      </w:tr>
      <w:tr>
        <w:trPr>
          <w:trHeight w:val="203"/>
        </w:trPr>
        <w:tc>
          <w:tcPr>
            <w:tcW w:w="766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Election of Directors (page 7)</w:t>
            </w:r>
          </w:p>
        </w:tc>
        <w:tc>
          <w:tcPr>
            <w:tcW w:w="1460" w:type="dxa"/>
            <w:vAlign w:val="bottom"/>
            <w:tcBorders>
              <w:bottom w:val="single" w:sz="8" w:color="auto"/>
            </w:tcBorders>
            <w:shd w:val="clear" w:color="auto" w:fill="CCCCCC"/>
          </w:tcPr>
          <w:p>
            <w:pPr>
              <w:jc w:val="center"/>
              <w:ind w:left="70"/>
              <w:spacing w:after="0" w:line="202" w:lineRule="exact"/>
              <w:rPr>
                <w:sz w:val="20"/>
                <w:szCs w:val="20"/>
                <w:color w:val="auto"/>
              </w:rPr>
            </w:pPr>
            <w:r>
              <w:rPr>
                <w:rFonts w:ascii="Arial" w:cs="Arial" w:eastAsia="Arial" w:hAnsi="Arial"/>
                <w:sz w:val="18"/>
                <w:szCs w:val="18"/>
                <w:color w:val="auto"/>
                <w:w w:val="99"/>
              </w:rPr>
              <w:t>1</w:t>
            </w:r>
          </w:p>
        </w:tc>
        <w:tc>
          <w:tcPr>
            <w:tcW w:w="2300" w:type="dxa"/>
            <w:vAlign w:val="bottom"/>
            <w:tcBorders>
              <w:bottom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9"/>
              </w:rPr>
              <w:t>FOR ALL NOMINEES</w:t>
            </w:r>
          </w:p>
        </w:tc>
      </w:tr>
      <w:tr>
        <w:trPr>
          <w:trHeight w:val="196"/>
        </w:trPr>
        <w:tc>
          <w:tcPr>
            <w:tcW w:w="76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Ratification of Appointment of Auditors (page 45-46)</w:t>
            </w:r>
          </w:p>
        </w:tc>
        <w:tc>
          <w:tcPr>
            <w:tcW w:w="1460" w:type="dxa"/>
            <w:vAlign w:val="bottom"/>
            <w:tcBorders>
              <w:bottom w:val="single" w:sz="8" w:color="auto"/>
            </w:tcBorders>
          </w:tcPr>
          <w:p>
            <w:pPr>
              <w:jc w:val="center"/>
              <w:ind w:left="70"/>
              <w:spacing w:after="0" w:line="196" w:lineRule="exact"/>
              <w:rPr>
                <w:sz w:val="20"/>
                <w:szCs w:val="20"/>
                <w:color w:val="auto"/>
              </w:rPr>
            </w:pPr>
            <w:r>
              <w:rPr>
                <w:rFonts w:ascii="Arial" w:cs="Arial" w:eastAsia="Arial" w:hAnsi="Arial"/>
                <w:sz w:val="18"/>
                <w:szCs w:val="18"/>
                <w:color w:val="auto"/>
                <w:w w:val="99"/>
              </w:rPr>
              <w:t>2</w:t>
            </w:r>
          </w:p>
        </w:tc>
        <w:tc>
          <w:tcPr>
            <w:tcW w:w="23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FOR</w:t>
            </w:r>
          </w:p>
        </w:tc>
      </w:tr>
      <w:tr>
        <w:trPr>
          <w:trHeight w:val="196"/>
        </w:trPr>
        <w:tc>
          <w:tcPr>
            <w:tcW w:w="766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Advisory Approval of the Compensation of our Named Executive Officers (page 47)</w:t>
            </w:r>
          </w:p>
        </w:tc>
        <w:tc>
          <w:tcPr>
            <w:tcW w:w="1460" w:type="dxa"/>
            <w:vAlign w:val="bottom"/>
            <w:tcBorders>
              <w:bottom w:val="single" w:sz="8" w:color="auto"/>
            </w:tcBorders>
            <w:shd w:val="clear" w:color="auto" w:fill="CCCCCC"/>
          </w:tcPr>
          <w:p>
            <w:pPr>
              <w:jc w:val="center"/>
              <w:ind w:left="70"/>
              <w:spacing w:after="0" w:line="196" w:lineRule="exact"/>
              <w:rPr>
                <w:sz w:val="20"/>
                <w:szCs w:val="20"/>
                <w:color w:val="auto"/>
              </w:rPr>
            </w:pPr>
            <w:r>
              <w:rPr>
                <w:rFonts w:ascii="Arial" w:cs="Arial" w:eastAsia="Arial" w:hAnsi="Arial"/>
                <w:sz w:val="18"/>
                <w:szCs w:val="18"/>
                <w:color w:val="auto"/>
                <w:w w:val="99"/>
              </w:rPr>
              <w:t>3</w:t>
            </w:r>
          </w:p>
        </w:tc>
        <w:tc>
          <w:tcPr>
            <w:tcW w:w="230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FOR</w:t>
            </w:r>
          </w:p>
        </w:tc>
      </w:tr>
      <w:tr>
        <w:trPr>
          <w:trHeight w:val="195"/>
        </w:trPr>
        <w:tc>
          <w:tcPr>
            <w:tcW w:w="7660" w:type="dxa"/>
            <w:vAlign w:val="bottom"/>
          </w:tcPr>
          <w:p>
            <w:pPr>
              <w:ind w:left="60"/>
              <w:spacing w:after="0" w:line="195" w:lineRule="exact"/>
              <w:rPr>
                <w:sz w:val="20"/>
                <w:szCs w:val="20"/>
                <w:color w:val="auto"/>
              </w:rPr>
            </w:pPr>
            <w:r>
              <w:rPr>
                <w:rFonts w:ascii="Arial" w:cs="Arial" w:eastAsia="Arial" w:hAnsi="Arial"/>
                <w:sz w:val="18"/>
                <w:szCs w:val="18"/>
                <w:color w:val="auto"/>
              </w:rPr>
              <w:t>Approval of the Avis Budget Group, Inc. Amended and Restated Equity and Incentive Plan</w:t>
            </w:r>
          </w:p>
        </w:tc>
        <w:tc>
          <w:tcPr>
            <w:tcW w:w="14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0"/>
        </w:trPr>
        <w:tc>
          <w:tcPr>
            <w:tcW w:w="766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(pages 48-55)</w:t>
            </w:r>
          </w:p>
        </w:tc>
        <w:tc>
          <w:tcPr>
            <w:tcW w:w="1460" w:type="dxa"/>
            <w:vAlign w:val="bottom"/>
            <w:tcBorders>
              <w:bottom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w w:val="99"/>
              </w:rPr>
              <w:t>4</w:t>
            </w:r>
          </w:p>
        </w:tc>
        <w:tc>
          <w:tcPr>
            <w:tcW w:w="23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FOR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Highlights</w:t>
      </w:r>
    </w:p>
    <w:p>
      <w:pPr>
        <w:spacing w:after="0" w:line="24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More than 80% of directors are independent (our Chief Executive Officer is the only management director)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Chairman of the Board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members of Compensation, Corporate Governance and Audit Committees are independent</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election of all directors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Majority voting (of votes cast) with a director resignation policy for directors in uncontested elections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Robust executive and director stock ownership guidelines</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director nominee attended at least 75% of Board and Committee meetings held in 2018 during such director’s period of service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Policy requiring annual performance evaluation of the Board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Company Performance</w:t>
      </w:r>
    </w:p>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had a successful year in 2018. Revenue was $9.1 billion for 2018, reflecting growth of 3% compared to 2017 and representing our ninth consecutive year of revenue growth. Our net income was $165 million, and our Adjusted EBITDA was $781 million, consistent with the Company’s expectations announced in early 2018. In 2018, we also returned capital to our shareholders through the repurchase of $200 million of our Common Stock, resulting in the repurchase of 5.9 million shares. Our closing stock price on December 31, 2018 was lower compared to our closing stock price on December 31, 2017, despite our achievements.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Compensation for our Named Executive Officers (“NEOs”)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 2018 Pay Levels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part of the regular annual review process, the Committee considered 2017 financial performance, and market and other factors, and determined that no changes would be made to base salaries, and annual incentive and long-term incentive target opportunities for the Company’s NEOs. Consistent with our past practice, more than 50% of our Chief Executive Officer’s 2018 pay opportunity, at target, was performance-based, excluding amounts contained in the Summary Compensation Table under “All Other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Alignment of 2018 Compensation with Performance</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history of pay-for-performance alignment was evident in the compensation paid to our NEOs for 2018. Based on 2018 financial performance and individual performance, annual incentive program payouts ranged between 46% of target for our President, International and 139% of target for our President, Americas. Our CEO’s annual incentive program payout was 103% of target. However, as a result of our three-year cumulative financial results, performance-based restricted stock unit awards (“PSUs”) granted in 2015 did not vest in 2018 and were forfeited without payout.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 2018 Performance Metrics</w:t>
      </w:r>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2017, the Committee approved an annual incentive program (“AIP”) that was based on historical practice and thus included one-year Adjusted EBITDA as the sole metric. At the same time, the Committee approved a new long-term incentive program (“LTIP”) for then NEOs based on Adjusted EBITDA margin, replacing the historical program, which included performance metrics based on three-year cumulative Adjusted EBITDA goals and a relative total-shareholder return modifier.</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2018, the Committee approved PSU awards with a three-year cumulative Adjusted EBITDA performance metric. This decision was made based on a number of factors, including but not limited to the significant correlation between Adjusted EBITDA and the Company’s stock price performance, and the Company’s strategic goals. The Committee also changed the performance metrics in the AIP to include: Adjusted EBITDA, with a 50% weighting; Adjusted Free Cash Flow, with a 25% weighting; and an individual performance component, with a 25% weighting, as discussed in more detail under “Annual Incentive Awards.”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About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am I receiving these proxy materials?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(the “Board”) of Avis Budget Group, Inc. (the “Company” or “Avis Budget”) is soliciting your vote at the 2019 Annual Meeting of Shareholders, and any adjournment or postponement thereof (the “Meeting”), to be held May 22, 2019 at 9:00 a.m. Eastern Time, at the offices of Kirkland &amp; Ellis LLP, 601 Lexington Avenue, New York, New York, for the purposes set forth in this Proxy Statement.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or about April 1, 2019, the Company will first mail to certain shareholders of record the Notice of Internet Availability of Proxy Materials containing instructions on how to access this Proxy Statement online, or in the alternative, request a paper copy of the proxy materials and a proxy card, and will also first mail to certain other shareholders this Proxy Statement and the accompanying proxy card.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and where will the Meeting be held?</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Meeting is scheduled to be held at 9:00 a.m. Eastern Time, on May 22, 2019, at the offices of Kirkland &amp; Ellis LLP, 601 Lexington Avenue, New York, New York.</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What items will I be voting on and what are the Board’s voting recommendations?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Board’s Voting</w:t>
            </w:r>
          </w:p>
        </w:tc>
      </w:tr>
      <w:tr>
        <w:trPr>
          <w:trHeight w:val="232"/>
        </w:trPr>
        <w:tc>
          <w:tcPr>
            <w:tcW w:w="9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Proposal</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Recommendation</w:t>
            </w:r>
          </w:p>
        </w:tc>
      </w:tr>
      <w:tr>
        <w:trPr>
          <w:trHeight w:val="203"/>
        </w:trPr>
        <w:tc>
          <w:tcPr>
            <w:tcW w:w="906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No. 1: Election of Directors (see page 7)</w:t>
            </w:r>
          </w:p>
        </w:tc>
        <w:tc>
          <w:tcPr>
            <w:tcW w:w="2360" w:type="dxa"/>
            <w:vAlign w:val="bottom"/>
            <w:tcBorders>
              <w:bottom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9"/>
              </w:rPr>
              <w:t>FOR ALL NOMINEES</w:t>
            </w:r>
          </w:p>
        </w:tc>
      </w:tr>
      <w:tr>
        <w:trPr>
          <w:trHeight w:val="196"/>
        </w:trPr>
        <w:tc>
          <w:tcPr>
            <w:tcW w:w="906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No. 2: Ratification of Appointment of Auditors (see page 45-46)</w:t>
            </w:r>
          </w:p>
        </w:tc>
        <w:tc>
          <w:tcPr>
            <w:tcW w:w="23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FOR</w:t>
            </w:r>
          </w:p>
        </w:tc>
      </w:tr>
      <w:tr>
        <w:trPr>
          <w:trHeight w:val="196"/>
        </w:trPr>
        <w:tc>
          <w:tcPr>
            <w:tcW w:w="906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No. 3: Advisory Approval of the Compensation of our Named Executive Officers (see page 47)</w:t>
            </w:r>
          </w:p>
        </w:tc>
        <w:tc>
          <w:tcPr>
            <w:tcW w:w="23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FOR</w:t>
            </w:r>
          </w:p>
        </w:tc>
      </w:tr>
      <w:tr>
        <w:trPr>
          <w:trHeight w:val="195"/>
        </w:trPr>
        <w:tc>
          <w:tcPr>
            <w:tcW w:w="9060" w:type="dxa"/>
            <w:vAlign w:val="bottom"/>
          </w:tcPr>
          <w:p>
            <w:pPr>
              <w:ind w:left="60"/>
              <w:spacing w:after="0" w:line="195" w:lineRule="exact"/>
              <w:rPr>
                <w:sz w:val="20"/>
                <w:szCs w:val="20"/>
                <w:color w:val="auto"/>
              </w:rPr>
            </w:pPr>
            <w:r>
              <w:rPr>
                <w:rFonts w:ascii="Arial" w:cs="Arial" w:eastAsia="Arial" w:hAnsi="Arial"/>
                <w:sz w:val="18"/>
                <w:szCs w:val="18"/>
                <w:color w:val="auto"/>
              </w:rPr>
              <w:t>No. 4: Approval of the Avis Budget Group, Inc. Amended and Restated Equity and Incentive Plan (see pages</w:t>
            </w:r>
          </w:p>
        </w:tc>
        <w:tc>
          <w:tcPr>
            <w:tcW w:w="2360" w:type="dxa"/>
            <w:vAlign w:val="bottom"/>
          </w:tcPr>
          <w:p>
            <w:pPr>
              <w:spacing w:after="0"/>
              <w:rPr>
                <w:sz w:val="16"/>
                <w:szCs w:val="16"/>
                <w:color w:val="auto"/>
              </w:rPr>
            </w:pPr>
          </w:p>
        </w:tc>
      </w:tr>
      <w:tr>
        <w:trPr>
          <w:trHeight w:val="210"/>
        </w:trPr>
        <w:tc>
          <w:tcPr>
            <w:tcW w:w="906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48-55)</w:t>
            </w:r>
          </w:p>
        </w:tc>
        <w:tc>
          <w:tcPr>
            <w:tcW w:w="23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FOR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Could other matters be decided at the Meeting?</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do I have?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March 25, 2019 (the “Record Date”).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can be cast by all shareholders?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75,909,370 votes, consisting of one vote for each share of Common Stock outstanding on the Record Date. There is no cumulative voting, and the holders of the Common Stock vote together as a single class.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must be present to hold the Meeting?</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One-third of the outstanding shares of Common Stock entitled to vote at the Meeting, or 25,303,123 votes, must be present, in person or by proxy, to constitute a quorum at the Meeting. Abstentions and broker non-votes, if any, will be counted for the purpose of determining whether a quorum is present.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are required to elect directors and adopt the other proposals?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Proposal</w:t>
            </w:r>
          </w:p>
        </w:tc>
        <w:tc>
          <w:tcPr>
            <w:tcW w:w="4280" w:type="dxa"/>
            <w:vAlign w:val="bottom"/>
            <w:tcBorders>
              <w:top w:val="single" w:sz="8" w:color="auto"/>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rPr>
              <w:t>Vote Requirement</w:t>
            </w:r>
          </w:p>
        </w:tc>
        <w:tc>
          <w:tcPr>
            <w:tcW w:w="560" w:type="dxa"/>
            <w:vAlign w:val="bottom"/>
            <w:tcBorders>
              <w:top w:val="single" w:sz="8" w:color="auto"/>
              <w:bottom w:val="single" w:sz="8" w:color="auto"/>
            </w:tcBorders>
          </w:tcPr>
          <w:p>
            <w:pPr>
              <w:spacing w:after="0"/>
              <w:rPr>
                <w:sz w:val="21"/>
                <w:szCs w:val="21"/>
                <w:color w:val="auto"/>
              </w:rPr>
            </w:pPr>
          </w:p>
        </w:tc>
        <w:tc>
          <w:tcPr>
            <w:tcW w:w="35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Impact of Abstentions</w:t>
            </w:r>
          </w:p>
        </w:tc>
      </w:tr>
      <w:tr>
        <w:trPr>
          <w:trHeight w:val="202"/>
        </w:trPr>
        <w:tc>
          <w:tcPr>
            <w:tcW w:w="3000" w:type="dxa"/>
            <w:vAlign w:val="bottom"/>
            <w:shd w:val="clear" w:color="auto" w:fill="CCCCCC"/>
          </w:tcPr>
          <w:p>
            <w:pPr>
              <w:ind w:left="60"/>
              <w:spacing w:after="0" w:line="201" w:lineRule="exact"/>
              <w:rPr>
                <w:sz w:val="20"/>
                <w:szCs w:val="20"/>
                <w:color w:val="auto"/>
              </w:rPr>
            </w:pPr>
            <w:r>
              <w:rPr>
                <w:rFonts w:ascii="Arial" w:cs="Arial" w:eastAsia="Arial" w:hAnsi="Arial"/>
                <w:sz w:val="18"/>
                <w:szCs w:val="18"/>
                <w:color w:val="auto"/>
              </w:rPr>
              <w:t>No. 1: Election of Directors</w:t>
            </w:r>
          </w:p>
        </w:tc>
        <w:tc>
          <w:tcPr>
            <w:tcW w:w="980" w:type="dxa"/>
            <w:vAlign w:val="bottom"/>
            <w:shd w:val="clear" w:color="auto" w:fill="CCCCCC"/>
          </w:tcPr>
          <w:p>
            <w:pPr>
              <w:ind w:left="780"/>
              <w:spacing w:after="0" w:line="201" w:lineRule="exact"/>
              <w:rPr>
                <w:sz w:val="20"/>
                <w:szCs w:val="20"/>
                <w:color w:val="auto"/>
              </w:rPr>
            </w:pPr>
            <w:r>
              <w:rPr>
                <w:rFonts w:ascii="Arial" w:cs="Arial" w:eastAsia="Arial" w:hAnsi="Arial"/>
                <w:sz w:val="18"/>
                <w:szCs w:val="18"/>
                <w:color w:val="auto"/>
              </w:rPr>
              <w:t>·</w:t>
            </w:r>
          </w:p>
        </w:tc>
        <w:tc>
          <w:tcPr>
            <w:tcW w:w="3300" w:type="dxa"/>
            <w:vAlign w:val="bottom"/>
            <w:shd w:val="clear" w:color="auto" w:fill="CCCCCC"/>
          </w:tcPr>
          <w:p>
            <w:pPr>
              <w:ind w:left="160"/>
              <w:spacing w:after="0" w:line="201" w:lineRule="exact"/>
              <w:rPr>
                <w:sz w:val="20"/>
                <w:szCs w:val="20"/>
                <w:color w:val="auto"/>
              </w:rPr>
            </w:pPr>
            <w:r>
              <w:rPr>
                <w:rFonts w:ascii="Arial" w:cs="Arial" w:eastAsia="Arial" w:hAnsi="Arial"/>
                <w:sz w:val="18"/>
                <w:szCs w:val="18"/>
                <w:color w:val="auto"/>
              </w:rPr>
              <w:t>Uncontested  Election  (applies  to</w:t>
            </w:r>
          </w:p>
        </w:tc>
        <w:tc>
          <w:tcPr>
            <w:tcW w:w="560" w:type="dxa"/>
            <w:vAlign w:val="bottom"/>
            <w:shd w:val="clear" w:color="auto" w:fill="CCCCCC"/>
          </w:tcPr>
          <w:p>
            <w:pPr>
              <w:jc w:val="right"/>
              <w:ind w:right="90"/>
              <w:spacing w:after="0" w:line="201" w:lineRule="exact"/>
              <w:rPr>
                <w:sz w:val="20"/>
                <w:szCs w:val="20"/>
                <w:color w:val="auto"/>
              </w:rPr>
            </w:pPr>
            <w:r>
              <w:rPr>
                <w:rFonts w:ascii="Arial" w:cs="Arial" w:eastAsia="Arial" w:hAnsi="Arial"/>
                <w:sz w:val="18"/>
                <w:szCs w:val="18"/>
                <w:color w:val="auto"/>
              </w:rPr>
              <w:t>the</w:t>
            </w:r>
          </w:p>
        </w:tc>
        <w:tc>
          <w:tcPr>
            <w:tcW w:w="3580" w:type="dxa"/>
            <w:vAlign w:val="bottom"/>
            <w:shd w:val="clear" w:color="auto" w:fill="CCCCCC"/>
          </w:tcPr>
          <w:p>
            <w:pPr>
              <w:ind w:left="160"/>
              <w:spacing w:after="0" w:line="201" w:lineRule="exact"/>
              <w:rPr>
                <w:sz w:val="20"/>
                <w:szCs w:val="20"/>
                <w:color w:val="auto"/>
              </w:rPr>
            </w:pPr>
            <w:r>
              <w:rPr>
                <w:rFonts w:ascii="Arial" w:cs="Arial" w:eastAsia="Arial" w:hAnsi="Arial"/>
                <w:sz w:val="18"/>
                <w:szCs w:val="18"/>
                <w:color w:val="auto"/>
              </w:rPr>
              <w:t>Will have no effect on the outcome</w:t>
            </w:r>
          </w:p>
        </w:tc>
      </w:tr>
      <w:tr>
        <w:trPr>
          <w:trHeight w:val="203"/>
        </w:trPr>
        <w:tc>
          <w:tcPr>
            <w:tcW w:w="3000" w:type="dxa"/>
            <w:vAlign w:val="bottom"/>
            <w:shd w:val="clear" w:color="auto" w:fill="CCCCCC"/>
          </w:tcPr>
          <w:p>
            <w:pPr>
              <w:spacing w:after="0"/>
              <w:rPr>
                <w:sz w:val="17"/>
                <w:szCs w:val="17"/>
                <w:color w:val="auto"/>
              </w:rPr>
            </w:pPr>
          </w:p>
        </w:tc>
        <w:tc>
          <w:tcPr>
            <w:tcW w:w="980" w:type="dxa"/>
            <w:vAlign w:val="bottom"/>
            <w:shd w:val="clear" w:color="auto" w:fill="CCCCCC"/>
          </w:tcPr>
          <w:p>
            <w:pPr>
              <w:spacing w:after="0"/>
              <w:rPr>
                <w:sz w:val="17"/>
                <w:szCs w:val="17"/>
                <w:color w:val="auto"/>
              </w:rPr>
            </w:pPr>
          </w:p>
        </w:tc>
        <w:tc>
          <w:tcPr>
            <w:tcW w:w="3860" w:type="dxa"/>
            <w:vAlign w:val="bottom"/>
            <w:gridSpan w:val="2"/>
            <w:shd w:val="clear" w:color="auto" w:fill="CCCCCC"/>
          </w:tcPr>
          <w:p>
            <w:pPr>
              <w:ind w:left="160"/>
              <w:spacing w:after="0" w:line="202" w:lineRule="exact"/>
              <w:rPr>
                <w:sz w:val="20"/>
                <w:szCs w:val="20"/>
                <w:color w:val="auto"/>
              </w:rPr>
            </w:pPr>
            <w:r>
              <w:rPr>
                <w:rFonts w:ascii="Arial" w:cs="Arial" w:eastAsia="Arial" w:hAnsi="Arial"/>
                <w:sz w:val="18"/>
                <w:szCs w:val="18"/>
                <w:color w:val="auto"/>
              </w:rPr>
              <w:t>Meeting):  Directors  are  elected  by  a</w:t>
            </w:r>
          </w:p>
        </w:tc>
        <w:tc>
          <w:tcPr>
            <w:tcW w:w="3580" w:type="dxa"/>
            <w:vAlign w:val="bottom"/>
            <w:shd w:val="clear" w:color="auto" w:fill="CCCCCC"/>
          </w:tcPr>
          <w:p>
            <w:pPr>
              <w:spacing w:after="0"/>
              <w:rPr>
                <w:sz w:val="17"/>
                <w:szCs w:val="17"/>
                <w:color w:val="auto"/>
              </w:rPr>
            </w:pPr>
          </w:p>
        </w:tc>
      </w:tr>
      <w:tr>
        <w:trPr>
          <w:trHeight w:val="203"/>
        </w:trPr>
        <w:tc>
          <w:tcPr>
            <w:tcW w:w="3000" w:type="dxa"/>
            <w:vAlign w:val="bottom"/>
            <w:shd w:val="clear" w:color="auto" w:fill="CCCCCC"/>
          </w:tcPr>
          <w:p>
            <w:pPr>
              <w:spacing w:after="0"/>
              <w:rPr>
                <w:sz w:val="17"/>
                <w:szCs w:val="17"/>
                <w:color w:val="auto"/>
              </w:rPr>
            </w:pPr>
          </w:p>
        </w:tc>
        <w:tc>
          <w:tcPr>
            <w:tcW w:w="980" w:type="dxa"/>
            <w:vAlign w:val="bottom"/>
            <w:shd w:val="clear" w:color="auto" w:fill="CCCCCC"/>
          </w:tcPr>
          <w:p>
            <w:pPr>
              <w:spacing w:after="0"/>
              <w:rPr>
                <w:sz w:val="17"/>
                <w:szCs w:val="17"/>
                <w:color w:val="auto"/>
              </w:rPr>
            </w:pPr>
          </w:p>
        </w:tc>
        <w:tc>
          <w:tcPr>
            <w:tcW w:w="3860" w:type="dxa"/>
            <w:vAlign w:val="bottom"/>
            <w:gridSpan w:val="2"/>
            <w:shd w:val="clear" w:color="auto" w:fill="CCCCCC"/>
          </w:tcPr>
          <w:p>
            <w:pPr>
              <w:ind w:left="160"/>
              <w:spacing w:after="0" w:line="202" w:lineRule="exact"/>
              <w:rPr>
                <w:sz w:val="20"/>
                <w:szCs w:val="20"/>
                <w:color w:val="auto"/>
              </w:rPr>
            </w:pPr>
            <w:r>
              <w:rPr>
                <w:rFonts w:ascii="Arial" w:cs="Arial" w:eastAsia="Arial" w:hAnsi="Arial"/>
                <w:sz w:val="18"/>
                <w:szCs w:val="18"/>
                <w:color w:val="auto"/>
              </w:rPr>
              <w:t>majority of votes cast (number of votes cast</w:t>
            </w:r>
          </w:p>
        </w:tc>
        <w:tc>
          <w:tcPr>
            <w:tcW w:w="3580" w:type="dxa"/>
            <w:vAlign w:val="bottom"/>
            <w:shd w:val="clear" w:color="auto" w:fill="CCCCCC"/>
          </w:tcPr>
          <w:p>
            <w:pPr>
              <w:spacing w:after="0"/>
              <w:rPr>
                <w:sz w:val="17"/>
                <w:szCs w:val="17"/>
                <w:color w:val="auto"/>
              </w:rPr>
            </w:pPr>
          </w:p>
        </w:tc>
      </w:tr>
      <w:tr>
        <w:trPr>
          <w:trHeight w:val="203"/>
        </w:trPr>
        <w:tc>
          <w:tcPr>
            <w:tcW w:w="3000" w:type="dxa"/>
            <w:vAlign w:val="bottom"/>
            <w:shd w:val="clear" w:color="auto" w:fill="CCCCCC"/>
          </w:tcPr>
          <w:p>
            <w:pPr>
              <w:spacing w:after="0"/>
              <w:rPr>
                <w:sz w:val="17"/>
                <w:szCs w:val="17"/>
                <w:color w:val="auto"/>
              </w:rPr>
            </w:pPr>
          </w:p>
        </w:tc>
        <w:tc>
          <w:tcPr>
            <w:tcW w:w="980" w:type="dxa"/>
            <w:vAlign w:val="bottom"/>
            <w:shd w:val="clear" w:color="auto" w:fill="CCCCCC"/>
          </w:tcPr>
          <w:p>
            <w:pPr>
              <w:spacing w:after="0"/>
              <w:rPr>
                <w:sz w:val="17"/>
                <w:szCs w:val="17"/>
                <w:color w:val="auto"/>
              </w:rPr>
            </w:pPr>
          </w:p>
        </w:tc>
        <w:tc>
          <w:tcPr>
            <w:tcW w:w="3860" w:type="dxa"/>
            <w:vAlign w:val="bottom"/>
            <w:gridSpan w:val="2"/>
            <w:shd w:val="clear" w:color="auto" w:fill="CCCCCC"/>
          </w:tcPr>
          <w:p>
            <w:pPr>
              <w:ind w:left="160"/>
              <w:spacing w:after="0" w:line="202" w:lineRule="exact"/>
              <w:rPr>
                <w:sz w:val="20"/>
                <w:szCs w:val="20"/>
                <w:color w:val="auto"/>
              </w:rPr>
            </w:pPr>
            <w:r>
              <w:rPr>
                <w:rFonts w:ascii="Arial" w:cs="Arial" w:eastAsia="Arial" w:hAnsi="Arial"/>
                <w:sz w:val="18"/>
                <w:szCs w:val="18"/>
                <w:color w:val="auto"/>
              </w:rPr>
              <w:t>“for”  each  nominee  must  exceed  the</w:t>
            </w:r>
          </w:p>
        </w:tc>
        <w:tc>
          <w:tcPr>
            <w:tcW w:w="3580" w:type="dxa"/>
            <w:vAlign w:val="bottom"/>
            <w:shd w:val="clear" w:color="auto" w:fill="CCCCCC"/>
          </w:tcPr>
          <w:p>
            <w:pPr>
              <w:spacing w:after="0"/>
              <w:rPr>
                <w:sz w:val="17"/>
                <w:szCs w:val="17"/>
                <w:color w:val="auto"/>
              </w:rPr>
            </w:pPr>
          </w:p>
        </w:tc>
      </w:tr>
      <w:tr>
        <w:trPr>
          <w:trHeight w:val="203"/>
        </w:trPr>
        <w:tc>
          <w:tcPr>
            <w:tcW w:w="3000" w:type="dxa"/>
            <w:vAlign w:val="bottom"/>
            <w:shd w:val="clear" w:color="auto" w:fill="CCCCCC"/>
          </w:tcPr>
          <w:p>
            <w:pPr>
              <w:spacing w:after="0"/>
              <w:rPr>
                <w:sz w:val="17"/>
                <w:szCs w:val="17"/>
                <w:color w:val="auto"/>
              </w:rPr>
            </w:pPr>
          </w:p>
        </w:tc>
        <w:tc>
          <w:tcPr>
            <w:tcW w:w="980" w:type="dxa"/>
            <w:vAlign w:val="bottom"/>
            <w:shd w:val="clear" w:color="auto" w:fill="CCCCCC"/>
          </w:tcPr>
          <w:p>
            <w:pPr>
              <w:spacing w:after="0"/>
              <w:rPr>
                <w:sz w:val="17"/>
                <w:szCs w:val="17"/>
                <w:color w:val="auto"/>
              </w:rPr>
            </w:pPr>
          </w:p>
        </w:tc>
        <w:tc>
          <w:tcPr>
            <w:tcW w:w="330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number  of  votes  cast  “against”</w:t>
            </w:r>
          </w:p>
        </w:tc>
        <w:tc>
          <w:tcPr>
            <w:tcW w:w="560" w:type="dxa"/>
            <w:vAlign w:val="bottom"/>
            <w:shd w:val="clear" w:color="auto" w:fill="CCCCCC"/>
          </w:tcPr>
          <w:p>
            <w:pPr>
              <w:jc w:val="right"/>
              <w:ind w:right="90"/>
              <w:spacing w:after="0" w:line="202" w:lineRule="exact"/>
              <w:rPr>
                <w:sz w:val="20"/>
                <w:szCs w:val="20"/>
                <w:color w:val="auto"/>
              </w:rPr>
            </w:pPr>
            <w:r>
              <w:rPr>
                <w:rFonts w:ascii="Arial" w:cs="Arial" w:eastAsia="Arial" w:hAnsi="Arial"/>
                <w:sz w:val="18"/>
                <w:szCs w:val="18"/>
                <w:color w:val="auto"/>
              </w:rPr>
              <w:t>that</w:t>
            </w:r>
          </w:p>
        </w:tc>
        <w:tc>
          <w:tcPr>
            <w:tcW w:w="3580" w:type="dxa"/>
            <w:vAlign w:val="bottom"/>
            <w:shd w:val="clear" w:color="auto" w:fill="CCCCCC"/>
          </w:tcPr>
          <w:p>
            <w:pPr>
              <w:spacing w:after="0"/>
              <w:rPr>
                <w:sz w:val="17"/>
                <w:szCs w:val="17"/>
                <w:color w:val="auto"/>
              </w:rPr>
            </w:pPr>
          </w:p>
        </w:tc>
      </w:tr>
      <w:tr>
        <w:trPr>
          <w:trHeight w:val="203"/>
        </w:trPr>
        <w:tc>
          <w:tcPr>
            <w:tcW w:w="3000" w:type="dxa"/>
            <w:vAlign w:val="bottom"/>
            <w:shd w:val="clear" w:color="auto" w:fill="CCCCCC"/>
          </w:tcPr>
          <w:p>
            <w:pPr>
              <w:spacing w:after="0"/>
              <w:rPr>
                <w:sz w:val="17"/>
                <w:szCs w:val="17"/>
                <w:color w:val="auto"/>
              </w:rPr>
            </w:pPr>
          </w:p>
        </w:tc>
        <w:tc>
          <w:tcPr>
            <w:tcW w:w="980" w:type="dxa"/>
            <w:vAlign w:val="bottom"/>
            <w:shd w:val="clear" w:color="auto" w:fill="CCCCCC"/>
          </w:tcPr>
          <w:p>
            <w:pPr>
              <w:spacing w:after="0"/>
              <w:rPr>
                <w:sz w:val="17"/>
                <w:szCs w:val="17"/>
                <w:color w:val="auto"/>
              </w:rPr>
            </w:pPr>
          </w:p>
        </w:tc>
        <w:tc>
          <w:tcPr>
            <w:tcW w:w="3300" w:type="dxa"/>
            <w:vAlign w:val="bottom"/>
            <w:shd w:val="clear" w:color="auto" w:fill="CCCCCC"/>
          </w:tcPr>
          <w:p>
            <w:pPr>
              <w:ind w:left="160"/>
              <w:spacing w:after="0" w:line="203" w:lineRule="exact"/>
              <w:rPr>
                <w:sz w:val="20"/>
                <w:szCs w:val="20"/>
                <w:color w:val="auto"/>
              </w:rPr>
            </w:pPr>
            <w:r>
              <w:rPr>
                <w:rFonts w:ascii="Arial" w:cs="Arial" w:eastAsia="Arial" w:hAnsi="Arial"/>
                <w:sz w:val="18"/>
                <w:szCs w:val="18"/>
                <w:color w:val="auto"/>
              </w:rPr>
              <w:t>nominee)</w:t>
            </w:r>
          </w:p>
        </w:tc>
        <w:tc>
          <w:tcPr>
            <w:tcW w:w="560" w:type="dxa"/>
            <w:vAlign w:val="bottom"/>
            <w:shd w:val="clear" w:color="auto" w:fill="CCCCCC"/>
          </w:tcPr>
          <w:p>
            <w:pPr>
              <w:spacing w:after="0"/>
              <w:rPr>
                <w:sz w:val="17"/>
                <w:szCs w:val="17"/>
                <w:color w:val="auto"/>
              </w:rPr>
            </w:pPr>
          </w:p>
        </w:tc>
        <w:tc>
          <w:tcPr>
            <w:tcW w:w="3580" w:type="dxa"/>
            <w:vAlign w:val="bottom"/>
            <w:shd w:val="clear" w:color="auto" w:fill="CCCCC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7246620" cy="130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03655"/>
                    </a:xfrm>
                    <a:prstGeom prst="rect">
                      <a:avLst/>
                    </a:prstGeom>
                    <a:noFill/>
                  </pic:spPr>
                </pic:pic>
              </a:graphicData>
            </a:graphic>
          </wp:anchor>
        </w:drawing>
      </w:r>
    </w:p>
    <w:p>
      <w:pPr>
        <w:spacing w:after="0" w:line="195" w:lineRule="exact"/>
        <w:rPr>
          <w:sz w:val="20"/>
          <w:szCs w:val="20"/>
          <w:color w:val="auto"/>
        </w:rPr>
      </w:pPr>
    </w:p>
    <w:p>
      <w:pPr>
        <w:jc w:val="both"/>
        <w:ind w:left="4140" w:right="3760" w:hanging="350"/>
        <w:spacing w:after="0" w:line="235" w:lineRule="auto"/>
        <w:tabs>
          <w:tab w:leader="none" w:pos="4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Contested Election: Directors are elected by a plurality of shares present, in person or by proxy, and entitled to vote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No. 2: Ratification of Appointment of</w:t>
            </w:r>
          </w:p>
        </w:tc>
        <w:tc>
          <w:tcPr>
            <w:tcW w:w="112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color w:val="auto"/>
              </w:rPr>
              <w:t>Majority</w:t>
            </w:r>
          </w:p>
        </w:tc>
        <w:tc>
          <w:tcPr>
            <w:tcW w:w="2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of</w:t>
            </w:r>
          </w:p>
        </w:tc>
        <w:tc>
          <w:tcPr>
            <w:tcW w:w="66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shares</w:t>
            </w:r>
          </w:p>
        </w:tc>
        <w:tc>
          <w:tcPr>
            <w:tcW w:w="24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present, in person  or  by</w:t>
            </w:r>
          </w:p>
        </w:tc>
        <w:tc>
          <w:tcPr>
            <w:tcW w:w="35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Counted and will have the same effect as</w:t>
            </w:r>
          </w:p>
        </w:tc>
      </w:tr>
      <w:tr>
        <w:trPr>
          <w:trHeight w:val="203"/>
        </w:trPr>
        <w:tc>
          <w:tcPr>
            <w:tcW w:w="336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Auditors</w:t>
            </w:r>
          </w:p>
        </w:tc>
        <w:tc>
          <w:tcPr>
            <w:tcW w:w="4480" w:type="dxa"/>
            <w:vAlign w:val="bottom"/>
            <w:tcBorders>
              <w:bottom w:val="single" w:sz="8" w:color="auto"/>
            </w:tcBorders>
            <w:gridSpan w:val="4"/>
          </w:tcPr>
          <w:p>
            <w:pPr>
              <w:ind w:left="420"/>
              <w:spacing w:after="0" w:line="203" w:lineRule="exact"/>
              <w:rPr>
                <w:sz w:val="20"/>
                <w:szCs w:val="20"/>
                <w:color w:val="auto"/>
              </w:rPr>
            </w:pPr>
            <w:r>
              <w:rPr>
                <w:rFonts w:ascii="Arial" w:cs="Arial" w:eastAsia="Arial" w:hAnsi="Arial"/>
                <w:sz w:val="18"/>
                <w:szCs w:val="18"/>
                <w:color w:val="auto"/>
              </w:rPr>
              <w:t>proxy, and entitled to vote</w:t>
            </w:r>
          </w:p>
        </w:tc>
        <w:tc>
          <w:tcPr>
            <w:tcW w:w="3580" w:type="dxa"/>
            <w:vAlign w:val="bottom"/>
            <w:tcBorders>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a vote against such proposal</w:t>
            </w:r>
          </w:p>
        </w:tc>
      </w:tr>
      <w:tr>
        <w:trPr>
          <w:trHeight w:val="195"/>
        </w:trPr>
        <w:tc>
          <w:tcPr>
            <w:tcW w:w="336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No. 3: Advisory Approval of</w:t>
            </w:r>
          </w:p>
        </w:tc>
        <w:tc>
          <w:tcPr>
            <w:tcW w:w="1120" w:type="dxa"/>
            <w:vAlign w:val="bottom"/>
            <w:shd w:val="clear" w:color="auto" w:fill="CCCCCC"/>
          </w:tcPr>
          <w:p>
            <w:pPr>
              <w:ind w:left="420"/>
              <w:spacing w:after="0" w:line="195" w:lineRule="exact"/>
              <w:rPr>
                <w:sz w:val="20"/>
                <w:szCs w:val="20"/>
                <w:color w:val="auto"/>
              </w:rPr>
            </w:pPr>
            <w:r>
              <w:rPr>
                <w:rFonts w:ascii="Arial" w:cs="Arial" w:eastAsia="Arial" w:hAnsi="Arial"/>
                <w:sz w:val="18"/>
                <w:szCs w:val="18"/>
                <w:color w:val="auto"/>
              </w:rPr>
              <w:t>Majority</w:t>
            </w:r>
          </w:p>
        </w:tc>
        <w:tc>
          <w:tcPr>
            <w:tcW w:w="28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of</w:t>
            </w:r>
          </w:p>
        </w:tc>
        <w:tc>
          <w:tcPr>
            <w:tcW w:w="66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shares</w:t>
            </w:r>
          </w:p>
        </w:tc>
        <w:tc>
          <w:tcPr>
            <w:tcW w:w="242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present, in person  or  by</w:t>
            </w:r>
          </w:p>
        </w:tc>
        <w:tc>
          <w:tcPr>
            <w:tcW w:w="3580" w:type="dxa"/>
            <w:vAlign w:val="bottom"/>
            <w:shd w:val="clear" w:color="auto" w:fill="CCCCCC"/>
          </w:tcPr>
          <w:p>
            <w:pPr>
              <w:ind w:left="160"/>
              <w:spacing w:after="0" w:line="195" w:lineRule="exact"/>
              <w:rPr>
                <w:sz w:val="20"/>
                <w:szCs w:val="20"/>
                <w:color w:val="auto"/>
              </w:rPr>
            </w:pPr>
            <w:r>
              <w:rPr>
                <w:rFonts w:ascii="Arial" w:cs="Arial" w:eastAsia="Arial" w:hAnsi="Arial"/>
                <w:sz w:val="18"/>
                <w:szCs w:val="18"/>
                <w:color w:val="auto"/>
              </w:rPr>
              <w:t>Counted and will have the same effect as</w:t>
            </w:r>
          </w:p>
        </w:tc>
      </w:tr>
      <w:tr>
        <w:trPr>
          <w:trHeight w:val="203"/>
        </w:trPr>
        <w:tc>
          <w:tcPr>
            <w:tcW w:w="336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the Compensation of our</w:t>
            </w:r>
          </w:p>
        </w:tc>
        <w:tc>
          <w:tcPr>
            <w:tcW w:w="4480" w:type="dxa"/>
            <w:vAlign w:val="bottom"/>
            <w:gridSpan w:val="4"/>
            <w:shd w:val="clear" w:color="auto" w:fill="CCCCCC"/>
          </w:tcPr>
          <w:p>
            <w:pPr>
              <w:ind w:left="420"/>
              <w:spacing w:after="0" w:line="202" w:lineRule="exact"/>
              <w:rPr>
                <w:sz w:val="20"/>
                <w:szCs w:val="20"/>
                <w:color w:val="auto"/>
              </w:rPr>
            </w:pPr>
            <w:r>
              <w:rPr>
                <w:rFonts w:ascii="Arial" w:cs="Arial" w:eastAsia="Arial" w:hAnsi="Arial"/>
                <w:sz w:val="18"/>
                <w:szCs w:val="18"/>
                <w:color w:val="auto"/>
              </w:rPr>
              <w:t>proxy, and entitled to vote</w:t>
            </w:r>
          </w:p>
        </w:tc>
        <w:tc>
          <w:tcPr>
            <w:tcW w:w="358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a vote against such proposal</w:t>
            </w:r>
          </w:p>
        </w:tc>
      </w:tr>
      <w:tr>
        <w:trPr>
          <w:trHeight w:val="203"/>
        </w:trPr>
        <w:tc>
          <w:tcPr>
            <w:tcW w:w="3360" w:type="dxa"/>
            <w:vAlign w:val="bottom"/>
            <w:shd w:val="clear" w:color="auto" w:fill="CCCCCC"/>
          </w:tcPr>
          <w:p>
            <w:pPr>
              <w:ind w:left="60"/>
              <w:spacing w:after="0" w:line="203" w:lineRule="exact"/>
              <w:rPr>
                <w:sz w:val="20"/>
                <w:szCs w:val="20"/>
                <w:color w:val="auto"/>
              </w:rPr>
            </w:pPr>
            <w:r>
              <w:rPr>
                <w:rFonts w:ascii="Arial" w:cs="Arial" w:eastAsia="Arial" w:hAnsi="Arial"/>
                <w:sz w:val="18"/>
                <w:szCs w:val="18"/>
                <w:color w:val="auto"/>
              </w:rPr>
              <w:t>Named Executive Officers</w:t>
            </w:r>
          </w:p>
        </w:tc>
        <w:tc>
          <w:tcPr>
            <w:tcW w:w="1120" w:type="dxa"/>
            <w:vAlign w:val="bottom"/>
            <w:shd w:val="clear" w:color="auto" w:fill="CCCCCC"/>
          </w:tcPr>
          <w:p>
            <w:pPr>
              <w:spacing w:after="0"/>
              <w:rPr>
                <w:sz w:val="17"/>
                <w:szCs w:val="17"/>
                <w:color w:val="auto"/>
              </w:rPr>
            </w:pPr>
          </w:p>
        </w:tc>
        <w:tc>
          <w:tcPr>
            <w:tcW w:w="280" w:type="dxa"/>
            <w:vAlign w:val="bottom"/>
            <w:shd w:val="clear" w:color="auto" w:fill="CCCCCC"/>
          </w:tcPr>
          <w:p>
            <w:pPr>
              <w:spacing w:after="0"/>
              <w:rPr>
                <w:sz w:val="17"/>
                <w:szCs w:val="17"/>
                <w:color w:val="auto"/>
              </w:rPr>
            </w:pPr>
          </w:p>
        </w:tc>
        <w:tc>
          <w:tcPr>
            <w:tcW w:w="660" w:type="dxa"/>
            <w:vAlign w:val="bottom"/>
            <w:shd w:val="clear" w:color="auto" w:fill="CCCCCC"/>
          </w:tcPr>
          <w:p>
            <w:pPr>
              <w:spacing w:after="0"/>
              <w:rPr>
                <w:sz w:val="17"/>
                <w:szCs w:val="17"/>
                <w:color w:val="auto"/>
              </w:rPr>
            </w:pPr>
          </w:p>
        </w:tc>
        <w:tc>
          <w:tcPr>
            <w:tcW w:w="2420" w:type="dxa"/>
            <w:vAlign w:val="bottom"/>
            <w:shd w:val="clear" w:color="auto" w:fill="CCCCCC"/>
          </w:tcPr>
          <w:p>
            <w:pPr>
              <w:spacing w:after="0"/>
              <w:rPr>
                <w:sz w:val="17"/>
                <w:szCs w:val="17"/>
                <w:color w:val="auto"/>
              </w:rPr>
            </w:pPr>
          </w:p>
        </w:tc>
        <w:tc>
          <w:tcPr>
            <w:tcW w:w="3580" w:type="dxa"/>
            <w:vAlign w:val="bottom"/>
            <w:shd w:val="clear" w:color="auto" w:fill="CCCCC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p>
      <w:pPr>
        <w:spacing w:after="0" w:line="8" w:lineRule="exact"/>
        <w:rPr>
          <w:sz w:val="20"/>
          <w:szCs w:val="20"/>
          <w:color w:val="auto"/>
        </w:rPr>
      </w:pPr>
    </w:p>
    <w:p>
      <w:pPr>
        <w:ind w:left="60"/>
        <w:spacing w:after="0"/>
        <w:tabs>
          <w:tab w:leader="none" w:pos="3760" w:val="left"/>
        </w:tabs>
        <w:rPr>
          <w:sz w:val="20"/>
          <w:szCs w:val="20"/>
          <w:color w:val="auto"/>
        </w:rPr>
      </w:pPr>
      <w:r>
        <w:rPr>
          <w:rFonts w:ascii="Arial" w:cs="Arial" w:eastAsia="Arial" w:hAnsi="Arial"/>
          <w:sz w:val="18"/>
          <w:szCs w:val="18"/>
          <w:color w:val="auto"/>
        </w:rPr>
        <w:t>No. 4: Approval of the Avis Budget Group,</w:t>
      </w:r>
      <w:r>
        <w:rPr>
          <w:sz w:val="20"/>
          <w:szCs w:val="20"/>
          <w:color w:val="auto"/>
        </w:rPr>
        <w:tab/>
      </w:r>
      <w:r>
        <w:rPr>
          <w:rFonts w:ascii="Arial" w:cs="Arial" w:eastAsia="Arial" w:hAnsi="Arial"/>
          <w:sz w:val="18"/>
          <w:szCs w:val="18"/>
          <w:color w:val="auto"/>
        </w:rPr>
        <w:t>Majority  of  shares  present, in person  or  by</w:t>
      </w:r>
    </w:p>
    <w:p>
      <w:pPr>
        <w:ind w:left="60"/>
        <w:spacing w:after="0"/>
        <w:tabs>
          <w:tab w:leader="none" w:pos="3760" w:val="left"/>
        </w:tabs>
        <w:rPr>
          <w:sz w:val="20"/>
          <w:szCs w:val="20"/>
          <w:color w:val="auto"/>
        </w:rPr>
      </w:pPr>
      <w:r>
        <w:rPr>
          <w:rFonts w:ascii="Arial" w:cs="Arial" w:eastAsia="Arial" w:hAnsi="Arial"/>
          <w:sz w:val="18"/>
          <w:szCs w:val="18"/>
          <w:color w:val="auto"/>
        </w:rPr>
        <w:t>Inc. Amended and Restated Equity and</w:t>
      </w:r>
      <w:r>
        <w:rPr>
          <w:sz w:val="20"/>
          <w:szCs w:val="20"/>
          <w:color w:val="auto"/>
        </w:rPr>
        <w:tab/>
      </w:r>
      <w:r>
        <w:rPr>
          <w:rFonts w:ascii="Arial" w:cs="Arial" w:eastAsia="Arial" w:hAnsi="Arial"/>
          <w:sz w:val="17"/>
          <w:szCs w:val="17"/>
          <w:color w:val="auto"/>
        </w:rPr>
        <w:t>proxy, and entitled to vote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6" w:lineRule="auto"/>
        <w:rPr>
          <w:sz w:val="20"/>
          <w:szCs w:val="20"/>
          <w:color w:val="auto"/>
        </w:rPr>
      </w:pPr>
      <w:r>
        <w:rPr>
          <w:rFonts w:ascii="Arial" w:cs="Arial" w:eastAsia="Arial" w:hAnsi="Arial"/>
          <w:sz w:val="18"/>
          <w:szCs w:val="18"/>
          <w:color w:val="auto"/>
        </w:rPr>
        <w:t>Counted and will have the same effect as a vote against such proposal</w:t>
      </w:r>
    </w:p>
    <w:p>
      <w:pPr>
        <w:spacing w:after="0" w:line="387" w:lineRule="exact"/>
        <w:rPr>
          <w:sz w:val="20"/>
          <w:szCs w:val="20"/>
          <w:color w:val="auto"/>
        </w:rPr>
      </w:pPr>
    </w:p>
    <w:p>
      <w:pPr>
        <w:sectPr>
          <w:pgSz w:w="11900" w:h="16838" w:orient="portrait"/>
          <w:cols w:equalWidth="0" w:num="2">
            <w:col w:w="7660" w:space="340"/>
            <w:col w:w="3420"/>
          </w:cols>
          <w:pgMar w:left="240" w:top="445" w:right="239" w:bottom="1440" w:gutter="0" w:footer="0" w:header="0"/>
          <w:type w:val="continuous"/>
        </w:sectPr>
      </w:pP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Company’s Amended and Restated By-laws (the “By-laws”),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an amended proxy statement, that, as applicable, identifies the substitute nominees, discloses that such nominees have consented to being named in the revised proxy statement and to serve if elected, and includes certain biographical and other information about such nominee as required by the rules of the Securities and Exchange Commission (“SEC”). Alternatively, the Board may reduce the number of directors in accordance with the Company’s Amended and Restated Certificate of Incorporation and the By-laws, subject to the rights of SRS Investment Management, LLC and certain of its affiliates (collectively, “SRS”) to recommend a replacement director under the Second Amended and Restated Cooperation Agreement, dated as of April 16, 2018, between the Company and SRS.</w:t>
      </w:r>
    </w:p>
    <w:p>
      <w:pPr>
        <w:spacing w:after="0" w:line="20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Pursuant to the By-laws, written notice by shareholders of qualifying nominations for election to the Board must have been received by our Secretary by February 22, 2019.</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broker non-vote?</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3 or 4, but the broker will have the discretion to vote your shares of Common Stock on Proposal No. 2. As a result, broker non-votes will have no effect on the outcome of Proposal Nos. 1, 3 or 4.</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b w:val="1"/>
          <w:bCs w:val="1"/>
          <w:color w:val="auto"/>
        </w:rPr>
        <w:t>Why did certain shareholders receive in the mail a one-page Notice regarding Internet availability of this Proxy Statement rather than a printed copy?</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sending to a portion of our shareholders, based on ownership level, a Notice containing instructions on how to access this Proxy Statement online, as permitted by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should submit your proxy card or voting instruction form as soon as possible. If you received or requested printed copies of the proxy materials by mail, the materials will include a proxy card, for registered stockholders (that is, if you hold your stock directly in your name through our transfer agent), or a vote instruction form for beneficial owners (if your shares are held in “street name,” such as in a stock brokerage account or through a bank or other nominee). Whether you are a registered stockholder or hold any of your shares in “street name,” you may vote in the following ways: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By Phone</w:t>
            </w:r>
          </w:p>
        </w:tc>
        <w:tc>
          <w:tcPr>
            <w:tcW w:w="5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By Internet</w:t>
            </w:r>
          </w:p>
        </w:tc>
      </w:tr>
      <w:tr>
        <w:trPr>
          <w:trHeight w:val="215"/>
        </w:trPr>
        <w:tc>
          <w:tcPr>
            <w:tcW w:w="5720" w:type="dxa"/>
            <w:vAlign w:val="bottom"/>
            <w:shd w:val="clear" w:color="auto" w:fill="CCCCCC"/>
          </w:tcPr>
          <w:p>
            <w:pPr>
              <w:ind w:left="60"/>
              <w:spacing w:after="0"/>
              <w:rPr>
                <w:sz w:val="20"/>
                <w:szCs w:val="20"/>
                <w:color w:val="auto"/>
              </w:rPr>
            </w:pPr>
            <w:r>
              <w:rPr>
                <w:rFonts w:ascii="Arial" w:cs="Arial" w:eastAsia="Arial" w:hAnsi="Arial"/>
                <w:sz w:val="18"/>
                <w:szCs w:val="18"/>
                <w:color w:val="auto"/>
              </w:rPr>
              <w:t>If you received or requested printed copies of the proxy materials by</w:t>
            </w:r>
          </w:p>
        </w:tc>
        <w:tc>
          <w:tcPr>
            <w:tcW w:w="5700" w:type="dxa"/>
            <w:vAlign w:val="bottom"/>
            <w:shd w:val="clear" w:color="auto" w:fill="CCCCCC"/>
          </w:tcPr>
          <w:p>
            <w:pPr>
              <w:ind w:left="240"/>
              <w:spacing w:after="0"/>
              <w:rPr>
                <w:sz w:val="20"/>
                <w:szCs w:val="20"/>
                <w:color w:val="auto"/>
              </w:rPr>
            </w:pPr>
            <w:r>
              <w:rPr>
                <w:rFonts w:ascii="Arial" w:cs="Arial" w:eastAsia="Arial" w:hAnsi="Arial"/>
                <w:sz w:val="18"/>
                <w:szCs w:val="18"/>
                <w:color w:val="auto"/>
              </w:rPr>
              <w:t>Follow the instructions included on the proxy card/voting instruction</w:t>
            </w:r>
          </w:p>
        </w:tc>
      </w:tr>
      <w:tr>
        <w:trPr>
          <w:trHeight w:val="216"/>
        </w:trPr>
        <w:tc>
          <w:tcPr>
            <w:tcW w:w="5720" w:type="dxa"/>
            <w:vAlign w:val="bottom"/>
            <w:shd w:val="clear" w:color="auto" w:fill="CCCCCC"/>
          </w:tcPr>
          <w:p>
            <w:pPr>
              <w:ind w:left="60"/>
              <w:spacing w:after="0"/>
              <w:rPr>
                <w:sz w:val="20"/>
                <w:szCs w:val="20"/>
                <w:color w:val="auto"/>
              </w:rPr>
            </w:pPr>
            <w:r>
              <w:rPr>
                <w:rFonts w:ascii="Arial" w:cs="Arial" w:eastAsia="Arial" w:hAnsi="Arial"/>
                <w:sz w:val="18"/>
                <w:szCs w:val="18"/>
                <w:color w:val="auto"/>
              </w:rPr>
              <w:t>mail, vote by dialing the number on the proxy card/voting instruction</w:t>
            </w:r>
          </w:p>
        </w:tc>
        <w:tc>
          <w:tcPr>
            <w:tcW w:w="5700" w:type="dxa"/>
            <w:vAlign w:val="bottom"/>
            <w:shd w:val="clear" w:color="auto" w:fill="CCCCCC"/>
          </w:tcPr>
          <w:p>
            <w:pPr>
              <w:ind w:left="240"/>
              <w:spacing w:after="0"/>
              <w:rPr>
                <w:sz w:val="20"/>
                <w:szCs w:val="20"/>
                <w:color w:val="auto"/>
              </w:rPr>
            </w:pPr>
            <w:r>
              <w:rPr>
                <w:rFonts w:ascii="Arial" w:cs="Arial" w:eastAsia="Arial" w:hAnsi="Arial"/>
                <w:sz w:val="18"/>
                <w:szCs w:val="18"/>
                <w:color w:val="auto"/>
              </w:rPr>
              <w:t>form or Notice of Internet Availability</w:t>
            </w:r>
          </w:p>
        </w:tc>
      </w:tr>
      <w:tr>
        <w:trPr>
          <w:trHeight w:val="217"/>
        </w:trPr>
        <w:tc>
          <w:tcPr>
            <w:tcW w:w="572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form and following the easy voice prompts</w:t>
            </w:r>
          </w:p>
        </w:tc>
        <w:tc>
          <w:tcPr>
            <w:tcW w:w="5700" w:type="dxa"/>
            <w:vAlign w:val="bottom"/>
            <w:tcBorders>
              <w:bottom w:val="single" w:sz="8" w:color="auto"/>
            </w:tcBorders>
            <w:shd w:val="clear" w:color="auto" w:fill="CCCCCC"/>
          </w:tcPr>
          <w:p>
            <w:pPr>
              <w:spacing w:after="0"/>
              <w:rPr>
                <w:sz w:val="18"/>
                <w:szCs w:val="18"/>
                <w:color w:val="auto"/>
              </w:rPr>
            </w:pPr>
          </w:p>
        </w:tc>
      </w:tr>
      <w:tr>
        <w:trPr>
          <w:trHeight w:val="210"/>
        </w:trPr>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By Mail</w:t>
            </w:r>
          </w:p>
        </w:tc>
        <w:tc>
          <w:tcPr>
            <w:tcW w:w="57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In Person</w:t>
            </w:r>
          </w:p>
        </w:tc>
      </w:tr>
      <w:tr>
        <w:trPr>
          <w:trHeight w:val="209"/>
        </w:trPr>
        <w:tc>
          <w:tcPr>
            <w:tcW w:w="5720" w:type="dxa"/>
            <w:vAlign w:val="bottom"/>
            <w:shd w:val="clear" w:color="auto" w:fill="CCCCCC"/>
          </w:tcPr>
          <w:p>
            <w:pPr>
              <w:ind w:left="60"/>
              <w:spacing w:after="0"/>
              <w:rPr>
                <w:sz w:val="20"/>
                <w:szCs w:val="20"/>
                <w:color w:val="auto"/>
              </w:rPr>
            </w:pPr>
            <w:r>
              <w:rPr>
                <w:rFonts w:ascii="Arial" w:cs="Arial" w:eastAsia="Arial" w:hAnsi="Arial"/>
                <w:sz w:val="18"/>
                <w:szCs w:val="18"/>
                <w:color w:val="auto"/>
              </w:rPr>
              <w:t>If you received or requested printed copies of the proxy materials by</w:t>
            </w:r>
          </w:p>
        </w:tc>
        <w:tc>
          <w:tcPr>
            <w:tcW w:w="5700" w:type="dxa"/>
            <w:vAlign w:val="bottom"/>
            <w:shd w:val="clear" w:color="auto" w:fill="CCCCCC"/>
          </w:tcPr>
          <w:p>
            <w:pPr>
              <w:ind w:left="240"/>
              <w:spacing w:after="0"/>
              <w:rPr>
                <w:sz w:val="20"/>
                <w:szCs w:val="20"/>
                <w:color w:val="auto"/>
              </w:rPr>
            </w:pPr>
            <w:r>
              <w:rPr>
                <w:rFonts w:ascii="Arial" w:cs="Arial" w:eastAsia="Arial" w:hAnsi="Arial"/>
                <w:sz w:val="18"/>
                <w:szCs w:val="18"/>
                <w:color w:val="auto"/>
              </w:rPr>
              <w:t>Attend the Meeting and vote in person. If you hold any shares in</w:t>
            </w:r>
          </w:p>
        </w:tc>
      </w:tr>
      <w:tr>
        <w:trPr>
          <w:trHeight w:val="216"/>
        </w:trPr>
        <w:tc>
          <w:tcPr>
            <w:tcW w:w="5720" w:type="dxa"/>
            <w:vAlign w:val="bottom"/>
            <w:shd w:val="clear" w:color="auto" w:fill="CCCCCC"/>
          </w:tcPr>
          <w:p>
            <w:pPr>
              <w:ind w:left="60"/>
              <w:spacing w:after="0"/>
              <w:rPr>
                <w:sz w:val="20"/>
                <w:szCs w:val="20"/>
                <w:color w:val="auto"/>
              </w:rPr>
            </w:pPr>
            <w:r>
              <w:rPr>
                <w:rFonts w:ascii="Arial" w:cs="Arial" w:eastAsia="Arial" w:hAnsi="Arial"/>
                <w:sz w:val="18"/>
                <w:szCs w:val="18"/>
                <w:color w:val="auto"/>
              </w:rPr>
              <w:t>mail, vote by marking, signing and dating the proxy card/voting</w:t>
            </w:r>
          </w:p>
        </w:tc>
        <w:tc>
          <w:tcPr>
            <w:tcW w:w="5700" w:type="dxa"/>
            <w:vAlign w:val="bottom"/>
            <w:shd w:val="clear" w:color="auto" w:fill="CCCCCC"/>
          </w:tcPr>
          <w:p>
            <w:pPr>
              <w:ind w:left="240"/>
              <w:spacing w:after="0"/>
              <w:rPr>
                <w:sz w:val="20"/>
                <w:szCs w:val="20"/>
                <w:color w:val="auto"/>
              </w:rPr>
            </w:pPr>
            <w:r>
              <w:rPr>
                <w:rFonts w:ascii="Arial" w:cs="Arial" w:eastAsia="Arial" w:hAnsi="Arial"/>
                <w:sz w:val="18"/>
                <w:szCs w:val="18"/>
                <w:color w:val="auto"/>
              </w:rPr>
              <w:t>“street name,” you may not vote in person unless you bring with you</w:t>
            </w:r>
          </w:p>
        </w:tc>
      </w:tr>
      <w:tr>
        <w:trPr>
          <w:trHeight w:val="224"/>
        </w:trPr>
        <w:tc>
          <w:tcPr>
            <w:tcW w:w="572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instruction form and returning it promptly in the envelope provided</w:t>
            </w:r>
          </w:p>
        </w:tc>
        <w:tc>
          <w:tcPr>
            <w:tcW w:w="5700" w:type="dxa"/>
            <w:vAlign w:val="bottom"/>
            <w:tcBorders>
              <w:bottom w:val="single" w:sz="8" w:color="auto"/>
            </w:tcBorders>
            <w:shd w:val="clear" w:color="auto" w:fill="CCCCCC"/>
          </w:tcPr>
          <w:p>
            <w:pPr>
              <w:ind w:left="240"/>
              <w:spacing w:after="0"/>
              <w:rPr>
                <w:sz w:val="20"/>
                <w:szCs w:val="20"/>
                <w:color w:val="auto"/>
              </w:rPr>
            </w:pPr>
            <w:r>
              <w:rPr>
                <w:rFonts w:ascii="Arial" w:cs="Arial" w:eastAsia="Arial" w:hAnsi="Arial"/>
                <w:sz w:val="18"/>
                <w:szCs w:val="18"/>
                <w:color w:val="auto"/>
              </w:rPr>
              <w:t>a legal proxy from the organization that holds your shares</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deadline for voting by telephone or by Internet will vary depending upon how you vote your shares—please follow the instructions shown on your proxy card/voting instruction form or Notice of Internet Availability. If you are not the shareholder of record, please refer to the voting instructions provided by your bank, broker or other nominee to direct it how to vote your shares. Your vote is important.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of our shareholders hold their shares in more than one account and may receive separate proxy cards/voting instruction forms or Notices of Internet Availability for each of those accounts. To ensure that all of your shares are represented at the Meeting, we recommend that you follow the instructions included on each proxy card/voting instruction form or Notice of Internet Availability you receive.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w:t>
      </w:r>
    </w:p>
    <w:p>
      <w:pPr>
        <w:spacing w:after="0" w:line="22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Yes. You may revoke your proxy at any time prior to the voting at the Meeting if, in accordance with the voting procedures described above, you:</w:t>
      </w:r>
    </w:p>
    <w:p>
      <w:pPr>
        <w:spacing w:after="0" w:line="21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again (including by phone or Internet by the applicable deadline); or</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sign, date and return a new proxy card or voting instruction form with a later date; or</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 timely written notice of such revocation to our Corporate Secretary at 6 Sylvan Way, Parsippany, N.J. 07054; 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your shares are held in “street name” (i.e., the shares are held of record by a broker, bank or other nominee) and you wish to revoke a proxy, you should contact your bank, broker or nominee and follow its procedures for changing your voting instructions. You also may vote in person at the Meeting if you obtain a legal proxy from your bank, broker or other nominee.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Only the latest validly executed proxy that you submit will be counted.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do not vote with respect to some of the proposals?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w:t>
      </w:r>
    </w:p>
    <w:p>
      <w:pPr>
        <w:spacing w:after="0" w:line="20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ALL” of the nominees recommended by the Board (Proposal No. 1);</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auditors (Proposal No. 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proposal regarding advisory approval of the compensation of our named executive officers (Proposal No. 3);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approval of the Avis Budget Group, Inc. Amended and Restated Equity and Incentive Plan (Proposal No.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participants in savings plans vote?</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14, 2019,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noon Eastern Time on May 14, 2019. Participants in the Savings Plans are not entitled to vote in person at the Meeting.</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participants in the Avis Budget Group, Inc. Employee Stock Purchase Plan (“ESPP”) vote?</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hold shares of Common Stock in the ESPP, you will receive a proxy card that covers shares of Common Stock held for you in the ESPP. In accordance with the provisions of the ESPP, the plan administrator will vote your shares of Common Stock as you have directed. To the extent such instructions are not received prior to noon Eastern Time on May 14, 2019, the plan administrator will not vote your shares.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 I need a ticket to attend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Admission will be by ticket only. Admission to the Meeting will be expedited if tickets are obtained in advance.</w:t>
      </w:r>
    </w:p>
    <w:p>
      <w:pPr>
        <w:spacing w:after="0" w:line="194" w:lineRule="exact"/>
        <w:rPr>
          <w:sz w:val="20"/>
          <w:szCs w:val="20"/>
          <w:color w:val="auto"/>
        </w:rPr>
      </w:pPr>
    </w:p>
    <w:p>
      <w:pPr>
        <w:ind w:left="360" w:hanging="352"/>
        <w:spacing w:after="0" w:line="26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Bring the bottom portion of the proxy card enclosed with this Proxy Statement as your Meeting ticket. Notices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accepted as a Meeting ticket.</w:t>
      </w:r>
    </w:p>
    <w:p>
      <w:pPr>
        <w:spacing w:after="0" w:line="187" w:lineRule="exact"/>
        <w:rPr>
          <w:rFonts w:ascii="Arial" w:cs="Arial" w:eastAsia="Arial" w:hAnsi="Arial"/>
          <w:sz w:val="18"/>
          <w:szCs w:val="18"/>
          <w:color w:val="auto"/>
        </w:rPr>
      </w:pPr>
    </w:p>
    <w:p>
      <w:pPr>
        <w:jc w:val="both"/>
        <w:ind w:left="360" w:hanging="352"/>
        <w:spacing w:after="0" w:line="245"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own shares of Common Stock through an intermediary, such as a bank or broker, request tickets in writing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Corporate Secretary at Avis Budget Group, Inc., 6 Sylvan Way, Parsippany, N.J. 07054. Please include proof of ownership, such as a bank or brokerage firm account statement or letter from the broker, trustee, bank or nominee holding your stock, confirming beneficial ownership as of the Record Date.</w:t>
      </w:r>
    </w:p>
    <w:p>
      <w:pPr>
        <w:spacing w:after="0" w:line="208" w:lineRule="exact"/>
        <w:rPr>
          <w:rFonts w:ascii="Arial" w:cs="Arial" w:eastAsia="Arial" w:hAnsi="Arial"/>
          <w:sz w:val="18"/>
          <w:szCs w:val="18"/>
          <w:color w:val="auto"/>
        </w:rPr>
      </w:pPr>
    </w:p>
    <w:p>
      <w:pPr>
        <w:ind w:left="360" w:hanging="352"/>
        <w:spacing w:after="0" w:line="267"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Shareholders without advance tickets: </w:t>
      </w:r>
      <w:r>
        <w:rPr>
          <w:rFonts w:ascii="Arial" w:cs="Arial" w:eastAsia="Arial" w:hAnsi="Arial"/>
          <w:sz w:val="18"/>
          <w:szCs w:val="18"/>
          <w:color w:val="auto"/>
        </w:rPr>
        <w:t>Shareholders who do not obtain tickets in advance may obtain tickets on the Meeting date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desk upon verifying their stock ownership as of the Record Date.</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Attendance at the Meeting will be limited to shareholders as of the Record Date, their authorized representatives and guests of the Company. Tickets may be issued to others at the discretion of the Company. In accordance with the Company’s security procedures, all persons attending the Meeting must present picture identification along with their admission ticket or proof of beneficial ownership in order to gain admission. Cameras and recording devices will not be permitted at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find the voting results of the Annual Meeting?</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Voting results will be tallied by the inspector of election. The Company will report the results in a Current Report on Form 8-K, to be filed with the SEC within four business days following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access the Company’s proxy materials and annual report electronically?</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This Proxy Statement and the Company’s 2018 Annual Report may be viewed online at </w:t>
      </w:r>
      <w:r>
        <w:rPr>
          <w:rFonts w:ascii="Arial" w:cs="Arial" w:eastAsia="Arial" w:hAnsi="Arial"/>
          <w:sz w:val="18"/>
          <w:szCs w:val="18"/>
          <w:i w:val="1"/>
          <w:iCs w:val="1"/>
          <w:color w:val="auto"/>
        </w:rPr>
        <w:t>edocumentview.com/CAR.</w:t>
      </w:r>
      <w:r>
        <w:rPr>
          <w:rFonts w:ascii="Arial" w:cs="Arial" w:eastAsia="Arial" w:hAnsi="Arial"/>
          <w:sz w:val="18"/>
          <w:szCs w:val="18"/>
          <w:color w:val="auto"/>
        </w:rPr>
        <w:t xml:space="preserve"> If you are a shareholder of record, you can elect to receive future annual reports and proxy statements electronically by enrolling at </w:t>
      </w:r>
      <w:r>
        <w:rPr>
          <w:rFonts w:ascii="Arial" w:cs="Arial" w:eastAsia="Arial" w:hAnsi="Arial"/>
          <w:sz w:val="18"/>
          <w:szCs w:val="18"/>
          <w:i w:val="1"/>
          <w:iCs w:val="1"/>
          <w:color w:val="auto"/>
        </w:rPr>
        <w:t>envisionreports.com/CAR.</w:t>
      </w:r>
      <w:r>
        <w:rPr>
          <w:rFonts w:ascii="Arial" w:cs="Arial" w:eastAsia="Arial" w:hAnsi="Arial"/>
          <w:sz w:val="18"/>
          <w:szCs w:val="18"/>
          <w:color w:val="auto"/>
        </w:rPr>
        <w:t xml:space="preserve"> If you choose this option, you will receive a proxy form in April 2020 listing the website locations 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a shareholder nominate someone to be a director?</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2020 annual meeting, the Company must receive this notice on or before February 22, 2020. Such notice and nomination should be submitted in writing to the Corporate Secretary of the Company and should include the information required for shareholder nominations set forth in the By-laws.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 copy of the full text of the provision of the By-laws describing the procedure for shareholder nominations may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Nothing contained in any section of the Company’s website is incorporated by reference into this Proxy Statement.</w:t>
      </w:r>
    </w:p>
    <w:p>
      <w:pPr>
        <w:sectPr>
          <w:pgSz w:w="11900" w:h="16838" w:orient="portrait"/>
          <w:cols w:equalWidth="0" w:num="1">
            <w:col w:w="11420"/>
          </w:cols>
          <w:pgMar w:left="240" w:top="445"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5560"/>
        <w:spacing w:after="0" w:line="254" w:lineRule="auto"/>
        <w:rPr>
          <w:sz w:val="20"/>
          <w:szCs w:val="20"/>
          <w:color w:val="auto"/>
        </w:rPr>
      </w:pPr>
      <w:r>
        <w:rPr>
          <w:rFonts w:ascii="Arial" w:cs="Arial" w:eastAsia="Arial" w:hAnsi="Arial"/>
          <w:sz w:val="36"/>
          <w:szCs w:val="36"/>
          <w:color w:val="auto"/>
        </w:rPr>
        <w:t>Proposals to Be Voted on at Meeting Proposal No. 1</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Election of Directors</w:t>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(the “Board”) has nominated Leonard S. Coleman, Larry D. De Shon, Brian J. Choi, Mary C. Choksi, Jeffrey H. Fox, Lynn Krominga, Glenn Lurie, Jagdeep Pahwa, F. Robert Salerno, Francis J. Shammo, Carl Sparks and Sanoke Viswanathan to be elected at the 2019 Annual Meeting of Shareholders (the “Meeting”) to serve as directors for a one-year term ending at the 2020 annual meeting of shareholders and until his or her successor is duly elected and qualified or until his or her earlier resignation or removal. For certain information regarding each nominee, see “Board of Directors—Biographical Information for Nominees” below.</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Biographical Information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LEONARD S.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Board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 Corporate Governance, Executive (Chair)</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Mr. Coleman, </w:t>
      </w:r>
      <w:r>
        <w:rPr>
          <w:rFonts w:ascii="Arial" w:cs="Arial" w:eastAsia="Arial" w:hAnsi="Arial"/>
          <w:sz w:val="18"/>
          <w:szCs w:val="18"/>
          <w:color w:val="auto"/>
        </w:rPr>
        <w:t>age 70, has been a director of Avis Budget Group, Inc. since August 2006. Mr. Coleman was a Senior Advisor to Major League</w:t>
      </w:r>
      <w:r>
        <w:rPr>
          <w:rFonts w:ascii="Arial" w:cs="Arial" w:eastAsia="Arial" w:hAnsi="Arial"/>
          <w:sz w:val="18"/>
          <w:szCs w:val="18"/>
          <w:b w:val="1"/>
          <w:bCs w:val="1"/>
          <w:color w:val="auto"/>
        </w:rPr>
        <w:t xml:space="preserve"> </w:t>
      </w:r>
      <w:r>
        <w:rPr>
          <w:rFonts w:ascii="Arial" w:cs="Arial" w:eastAsia="Arial" w:hAnsi="Arial"/>
          <w:sz w:val="18"/>
          <w:szCs w:val="18"/>
          <w:color w:val="auto"/>
        </w:rPr>
        <w:t>Baseball from 1999 to December 2005. Mr. Coleman was a director of Cendant Corporation from 1997 to August 2006. Mr. Coleman was the President of The National League of Professional Baseball Clubs from 1994 to 1999, having served from 1992 to 1994 as Executive Director, Market Development of Major League Baseball. Previously, Mr. Coleman was a municipal finance banker for Kidder, Peabody &amp; Company. Prior to joining Kidder, Mr. Coleman served as commissioner of the New Jersey Department of Community Affairs and the Department of Energy, and chairman of the Hackensack Meadowlands Development Commission and the New Jersey Housing and Mortgage Finance Agency. He also served as the vice chairman of the State Commission on Ethical Standards, and a member of the Economic Development Authority, Urban Enterprise Zone Authority, Urban Development Authority, State Planning Commission and New Jersey Public Television Commission. Mr. Coleman is also a director of the following corporations which file reports pursuant to the Exchange Act: Electronic Arts Inc., Hess Corporation and Omnicom Group Inc. Mr. Coleman previously served on the board of the following companies: Aramark Holdings Corporation and Churchill Downs Incorporated.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History with the Company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service background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management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Executive</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Mr. De Shon</w:t>
      </w:r>
      <w:r>
        <w:rPr>
          <w:rFonts w:ascii="Arial" w:cs="Arial" w:eastAsia="Arial" w:hAnsi="Arial"/>
          <w:sz w:val="18"/>
          <w:szCs w:val="18"/>
          <w:color w:val="auto"/>
        </w:rPr>
        <w:t>, age 59, has been a director since October 2015. Mr. De Shon has served as Chief Executive Officer and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Avis Budget Group, Inc. since January 2016, and assumed the title of President in June 2017. Previously, Mr. De Shon held the title of President and Chief Operating Officer from October 2015 through December 2015, President, International from January 2015 until October 2015, President, Europe, Middle East and Africa (“EMEA”) from October 2011 until January 2015, and Executive Vice President, Operations from October 2006 to October 2011. Prior to joining the Company, Mr. De Shon spent 28 years at United Airlines, starting as a customer service representative and advancing to hold</w:t>
      </w:r>
    </w:p>
    <w:p>
      <w:pPr>
        <w:sectPr>
          <w:pgSz w:w="11900" w:h="16838" w:orient="portrait"/>
          <w:cols w:equalWidth="0" w:num="1">
            <w:col w:w="11420"/>
          </w:cols>
          <w:pgMar w:left="240" w:top="445"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number of positions of increasing responsibility during his tenure, including Senior Vice President positions in marketing, on-board service and global airport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Extensive operating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Company and industry experience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 Corporate Governance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Mr. Choi, </w:t>
      </w:r>
      <w:r>
        <w:rPr>
          <w:rFonts w:ascii="Arial" w:cs="Arial" w:eastAsia="Arial" w:hAnsi="Arial"/>
          <w:sz w:val="18"/>
          <w:szCs w:val="18"/>
          <w:color w:val="auto"/>
        </w:rPr>
        <w:t>age 36, has been a director since January 2016. Mr. Choi is a partner at SRS Investment Management, LLC and certain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has served in various roles at SRS since October 2008. Previously, Mr. Choi worked at Metalmark Capital from 2007 to 2008 and he also served as an analyst in the Leveraged Finance Group at Lehman Brothers from 2005 to 2007. Mr. Choi was initially appointed to the Board pursuant to the terms of a cooperation agreement between the Company and SRS Investment Management, LLC and certain of its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MARY C. CHOKSI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 (Chair)</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Ms. Choksi</w:t>
      </w:r>
      <w:r>
        <w:rPr>
          <w:rFonts w:ascii="Arial" w:cs="Arial" w:eastAsia="Arial" w:hAnsi="Arial"/>
          <w:sz w:val="18"/>
          <w:szCs w:val="18"/>
          <w:color w:val="auto"/>
        </w:rPr>
        <w:t>, age 68, has been a director since March 2007. From August 2015 until her retirement in January 2017, Ms. Choksi was a Senior</w:t>
      </w:r>
      <w:r>
        <w:rPr>
          <w:rFonts w:ascii="Arial" w:cs="Arial" w:eastAsia="Arial" w:hAnsi="Arial"/>
          <w:sz w:val="18"/>
          <w:szCs w:val="18"/>
          <w:b w:val="1"/>
          <w:bCs w:val="1"/>
          <w:color w:val="auto"/>
        </w:rPr>
        <w:t xml:space="preserve"> </w:t>
      </w:r>
      <w:r>
        <w:rPr>
          <w:rFonts w:ascii="Arial" w:cs="Arial" w:eastAsia="Arial" w:hAnsi="Arial"/>
          <w:sz w:val="18"/>
          <w:szCs w:val="18"/>
          <w:color w:val="auto"/>
        </w:rPr>
        <w:t>Advisor at Strategic Investment Group (“Strategic”), an investment management group founded in 1987, which designs and implements global investment strategies for large institutional and individual investors. Previously, Ms. Choksi was Founding Partner and Senior Managing Director of Strategic. Within Strategic, Ms. Choksi was a member of the investment strategy group charged with overseeing the asset mix of globally diversified client portfolios, supervised reporting to all clients and had responsibilities in corporate planning. Ms. Choksi was also a Founding Partner and, until May 2011, a Managing Director at Emerging Markets Investors Corporation (“EMI”). EMI and its successor, Ashmore EMM, manage portfolios of marketable equities in the emerging markets of Asia, Europe, Latin America, Africa and the Middle East on behalf of institutional and private investors. Prior to the establishment of Strategic and EMI, Ms. Choksi worked in the Pension Investment Division of the World Bank, which was responsible for investing the institution’s pension plan. Before joining the Bank’s finance complex, she worked for nine years in the development arm of the Bank, working on South and Southeast Asia. Ms. Choksi is also a director of the following companies which file reports pursuant to the Exchange Act: White Mountains Insurance Group, Ltd. and Omnicom Group Inc. Ms. Choksi is a member of White Mountain’s Finance and Executive Committees. Ms. Choksi serves as the Chair of Omnicom’s Audit Committee and is a member of Omnicom’s Compensation Committee. Ms. Choksi also serves as a trustee of various mutual funds in the Franklin Templeton Funds family.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and executive management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 international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JEFFREY H.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Mr. Fox</w:t>
      </w:r>
      <w:r>
        <w:rPr>
          <w:rFonts w:ascii="Arial" w:cs="Arial" w:eastAsia="Arial" w:hAnsi="Arial"/>
          <w:sz w:val="18"/>
          <w:szCs w:val="18"/>
          <w:color w:val="auto"/>
        </w:rPr>
        <w:t>, age 57, has been a director since July 2013. Mr. Fox has been President and Chief Executive Officer of Endurance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Group Holdings, Inc. since August 2017. Mr. Fox is also a principal of The Circumference Group LLC, an investment and advisory firm which he founded in 2009. Mr. Fox was President and Chief Executive Officer of Convergys Corporation from 2010 to November 2012, and then Executive Chairman until April 2013. Previously, Mr. Fox worked for Alltel Corporation as Chief Operating Officer from 2007 through 2008, and as a Group President from 1996 until 2007. Prior to joining Alltel, Mr. Fox worked in investment banking for ten years with Stephens Inc., preceded by two years with Merrill Lynch, specializing in mergers and acquisitions advisory services. Mr. Fox is also a director of Endurance, which files reports pursuant to the Exchange Act. Mr. Fox previously served on the board of Blackhawk Network Holdings Inc.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Chief Executive Officer and Chief Operating Officer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Technology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operating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Corporate Governance (Chair)</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Ms. Krominga</w:t>
      </w:r>
      <w:r>
        <w:rPr>
          <w:rFonts w:ascii="Arial" w:cs="Arial" w:eastAsia="Arial" w:hAnsi="Arial"/>
          <w:sz w:val="18"/>
          <w:szCs w:val="18"/>
          <w:color w:val="auto"/>
        </w:rPr>
        <w:t>, age 68, has been a director since October 2006. Ms. Krominga is an attorney, management consultant and former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legal, governance, licensing, technology and regulatory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management experience and financial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Mr. Lurie</w:t>
      </w:r>
      <w:r>
        <w:rPr>
          <w:rFonts w:ascii="Arial" w:cs="Arial" w:eastAsia="Arial" w:hAnsi="Arial"/>
          <w:sz w:val="18"/>
          <w:szCs w:val="18"/>
          <w:color w:val="auto"/>
        </w:rPr>
        <w:t>, age 53, has been a director since May 2018. Mr. Lurie has been President and Chief Executive Officer of Synchronoss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Inc. since November 2017.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is also a director of Synchronoss, which files reports pursuant to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Technology, operations, strategy, and business development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Executive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Mr. Pahwa</w:t>
      </w:r>
      <w:r>
        <w:rPr>
          <w:rFonts w:ascii="Arial" w:cs="Arial" w:eastAsia="Arial" w:hAnsi="Arial"/>
          <w:sz w:val="18"/>
          <w:szCs w:val="18"/>
          <w:color w:val="auto"/>
        </w:rPr>
        <w:t>, age 45, has been a director since April 2018. Mr. Pahwa has been the President of SRS Investment Management, LLC since 2017</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led SRS’s private equity business since 2006. Previously, Mr. Pahwa worked at McKinsey &amp; Company in the U.S. and India, where he led client engagements in the telecom, technology and real estate sectors. Prior thereto, Mr. Pahwa worked in the Mergers &amp; Acquisitions group of Lehman Brothers in New York. Mr. Pahwa was initially appointed to the Board pursuant to the terms of a cooperation agreement between the Company and SRS Investment Management, LLC and certain of its affiliates.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Broad international experience and understanding of technology sector</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 ROBERT SALERNO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Corporate Governance</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Mr. Salerno</w:t>
      </w:r>
      <w:r>
        <w:rPr>
          <w:rFonts w:ascii="Arial" w:cs="Arial" w:eastAsia="Arial" w:hAnsi="Arial"/>
          <w:sz w:val="18"/>
          <w:szCs w:val="18"/>
          <w:color w:val="auto"/>
        </w:rPr>
        <w:t>, age 67, has been a director since August 2006. Mr. Salerno was previously Vice Chairman of the Company from June 2010</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December 2011, and President and Chief Operating Officer of the Company from August 2006 to June 2010. For nearly 30 years, Mr. Salerno held numerous leadership positions with the Company, including as chief executive of Cendant’s vehicle rental business and as President and Chief Operating Officer of Avis from 1996 to November 2002. Mr. Salerno previously served on the board of Norwegian Cruise Line Holdings, Ltd., which files reports pursuant to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Chief Operating Officer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Extensive Company and industry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operating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experience</w:t>
      </w:r>
    </w:p>
    <w:p>
      <w:pPr>
        <w:sectPr>
          <w:pgSz w:w="11900" w:h="16838" w:orient="portrait"/>
          <w:cols w:equalWidth="0" w:num="1">
            <w:col w:w="11420"/>
          </w:cols>
          <w:pgMar w:left="240" w:top="445" w:right="2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FRANCIS J. SHAMMO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(Chair)</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Mr. Shammo</w:t>
      </w:r>
      <w:r>
        <w:rPr>
          <w:rFonts w:ascii="Arial" w:cs="Arial" w:eastAsia="Arial" w:hAnsi="Arial"/>
          <w:sz w:val="18"/>
          <w:szCs w:val="18"/>
          <w:color w:val="auto"/>
        </w:rPr>
        <w:t>, age 58, has been a director since May 2018. Mr. Shammo was the Executive Vice President and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Verizon Communications, Inc. from November 2010 until November 2016, and retired from Verizon at the end of 2016. After joining Bell Atlantic Corporation in 1989, which merged with GTE Corporation in 2000 to form Verizon, he held positions of increasing responsibility in finance, mergers and acquisitions, logistics, facilities, regional operations, and planning. His prior positions include President and Chief Executive Officer of Verizon Telecom and Business, Senior Vice President and Chief Financial Officer of Verizon Business, President—West Area of Verizon Wireless, and Vice President and Controller of Verizon Wireless. Mr. Shammo is also a director of Unum Group, which files reports pursuant to the Exchange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Chief Executive Officer and Chief Financial Officer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Extensive operating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Executive management experience and financial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 international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Mr. Sparks</w:t>
      </w:r>
      <w:r>
        <w:rPr>
          <w:rFonts w:ascii="Arial" w:cs="Arial" w:eastAsia="Arial" w:hAnsi="Arial"/>
          <w:sz w:val="18"/>
          <w:szCs w:val="18"/>
          <w:color w:val="auto"/>
        </w:rPr>
        <w:t>, age 51, has been a director since April 2018. Mr. Sparks was the Chief Executive Officer and a director of Academic Partnerships,</w:t>
      </w:r>
      <w:r>
        <w:rPr>
          <w:rFonts w:ascii="Arial" w:cs="Arial" w:eastAsia="Arial" w:hAnsi="Arial"/>
          <w:sz w:val="18"/>
          <w:szCs w:val="18"/>
          <w:b w:val="1"/>
          <w:bCs w:val="1"/>
          <w:color w:val="auto"/>
        </w:rPr>
        <w:t xml:space="preserve"> </w:t>
      </w:r>
      <w:r>
        <w:rPr>
          <w:rFonts w:ascii="Arial" w:cs="Arial" w:eastAsia="Arial" w:hAnsi="Arial"/>
          <w:sz w:val="18"/>
          <w:szCs w:val="18"/>
          <w:color w:val="auto"/>
        </w:rPr>
        <w:t>an online service provider for higher education, from 2016 to 2017. From 2011 to 2014, Mr. Sparks was the Chief Executive Officer of Travelocity Global. Mr. Sparks was also employed by Gilt Groupe, serving as its Chief Marketing Officer in 2009 and its President from 2010 to 2011. Prior to joining Gilt Groupe, Mr. Sparks served in a variety of leadership roles at Expedia Inc. from 2004 to 2009, including as Senior Vice President, Marketing and Retail Operations at Hotels. com from 2004 to 2006, Chief Marketing Officer at Expedia.com from 2006 to 2007, and General Manager at Hotels.com USA, Latin America &amp; Canada from 2008 to 2009. Earlier, Mr. Sparks served as Vice President of Direct Business and Brand at Capital One Financial Corp., and also served in senior marketing and strategy roles at Guinness &amp; Co., PepsiCo Inc., and The Boston Consulting Group. Mr. Sparks is a director of Dunkin’ Brands Group, Inc., which files reports pursuant to the Exchange Act. Mr. Sparks previously served on the board of Vonage Holdings Corp., which files reports pursuant to the Exchange Act. Mr. Sparks is also currently serving as a director of ActionIQ, Inc., an enterprise software company; TreeHouse, Inc., a home upgrade company; Blue Nile, an online jewelry retailer; and Lucid, LLC, a market research company. Mr. Sparks was initially appointed to the Board pursuant to the terms of a cooperation agreement between the Company and SRS Investment Management, LLC and certain of its affiliates.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Chief Executive Officer and Chief Marketing Officer experience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operations, strategy, marketing and business development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None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Mr. Viswanathan</w:t>
      </w:r>
      <w:r>
        <w:rPr>
          <w:rFonts w:ascii="Arial" w:cs="Arial" w:eastAsia="Arial" w:hAnsi="Arial"/>
          <w:sz w:val="18"/>
          <w:szCs w:val="18"/>
          <w:color w:val="auto"/>
        </w:rPr>
        <w:t>, age 43, has been a director since March 2016. Mr. Viswanathan has been the Chief Administrative Officer of JPMorgan</w:t>
      </w:r>
      <w:r>
        <w:rPr>
          <w:rFonts w:ascii="Arial" w:cs="Arial" w:eastAsia="Arial" w:hAnsi="Arial"/>
          <w:sz w:val="18"/>
          <w:szCs w:val="18"/>
          <w:b w:val="1"/>
          <w:bCs w:val="1"/>
          <w:color w:val="auto"/>
        </w:rPr>
        <w:t xml:space="preserve"> </w:t>
      </w:r>
      <w:r>
        <w:rPr>
          <w:rFonts w:ascii="Arial" w:cs="Arial" w:eastAsia="Arial" w:hAnsi="Arial"/>
          <w:sz w:val="18"/>
          <w:szCs w:val="18"/>
          <w:color w:val="auto"/>
        </w:rPr>
        <w:t>Chase &amp; Co.’s Corporate &amp; Investment Bank, overseeing technology, operations and controls since 2014. Previously, Mr. Viswanathan was head of strategy, marketing and new business development for the Corporate &amp; Investment Bank from 2012 to 2013 and head of corporate strategy for JPMorgan Chase from 2010 to 2012. Prior to joining JPMorgan Chase, Mr. Viswanathan was a partner at McKinsey &amp; Co. and co-head of its global corporate and investment banking practice, serving financial institutions in Asia, Europe and North America on strategy, organization and risk management topics. Mr. Viswanathan has been on the Board of Sadler’s Wells Theatre in London since 2014. Mr. Viswanathan was initially appointed to the Board pursuant to the terms of a cooperation agreement between the Company and SRS Investment Management, LLC and certain of its affiliates.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47"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 operations, strategy, marketing and business development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management and controls expertise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Advisory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 additional information regarding the director nomination process, please see the section titled “Director Nomination Procedures” on page 16 of this Proxy Statement.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ALL” OF THE NOMINEES.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Corporate Governance</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To determine director independence, our Board of Directors reviews commercial and charitable relationships of each director to evaluate such director’s independence in accordance with the listing standards of the NASDAQ Stock Market LLC (“NASDAQ”) and pursuant to our own director independence criteria, which can be accessed on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 After evaluating the factors described above, the Board of Directors has affirmatively determined that ten of the nominee directors are independent in accordance with NASDAQ corporate governance listing standards and our own director independence criteria. In determining that Mr. Viswanathan is independent, the Board of Directors considered that he is employed by JPMorgan Chase &amp; Co. (“JPM”) and that JPM and its affiliates provide various financial services to the Company and its subsidiaries for which they have received customary fees. However, the Board did not believe that the Company’s relationship with JPM impacted the independence of Mr. Viswanathan for the following reasons:</w:t>
      </w:r>
    </w:p>
    <w:p>
      <w:pPr>
        <w:spacing w:after="0" w:line="206" w:lineRule="exact"/>
        <w:rPr>
          <w:sz w:val="20"/>
          <w:szCs w:val="20"/>
          <w:color w:val="auto"/>
        </w:rPr>
      </w:pPr>
    </w:p>
    <w:p>
      <w:pPr>
        <w:ind w:left="360" w:hanging="352"/>
        <w:spacing w:after="0" w:line="246"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JPM is a large multi-national financial institution; and the Company has had a relationship with JPM for many years prior to Mr. Viswanathan’s appointment to the Board as well as Mr. Viswanathan’s employment with JPM;</w:t>
      </w:r>
    </w:p>
    <w:p>
      <w:pPr>
        <w:spacing w:after="0" w:line="196" w:lineRule="exact"/>
        <w:rPr>
          <w:rFonts w:ascii="Arial" w:cs="Arial" w:eastAsia="Arial" w:hAnsi="Arial"/>
          <w:sz w:val="18"/>
          <w:szCs w:val="18"/>
          <w:color w:val="auto"/>
        </w:rPr>
      </w:pPr>
    </w:p>
    <w:p>
      <w:pPr>
        <w:jc w:val="both"/>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Viswanathan has no involvement (either in his capacity as a director of the Company or as an employee of JPM) in the selection of JPM to provide the services described above or the terms or pricing of any such services, and is not directly involved in the provision of services to the Company; and</w:t>
      </w:r>
    </w:p>
    <w:p>
      <w:pPr>
        <w:spacing w:after="0" w:line="202" w:lineRule="exact"/>
        <w:rPr>
          <w:rFonts w:ascii="Arial" w:cs="Arial" w:eastAsia="Arial" w:hAnsi="Arial"/>
          <w:sz w:val="18"/>
          <w:szCs w:val="18"/>
          <w:color w:val="auto"/>
        </w:rPr>
      </w:pPr>
    </w:p>
    <w:p>
      <w:pPr>
        <w:ind w:left="360" w:hanging="352"/>
        <w:spacing w:after="0" w:line="246"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utilizes a variety of financial institutions to provide commercial banking, investment banking and other financial advisory services and JPM was not involved in the process of Mr. Viswanathan’s being selected to serve on the Board.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Nominees</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Board of Directors has determined that each of the following nominees is independent under the applicable director independence standards.</w:t>
      </w:r>
    </w:p>
    <w:p>
      <w:pPr>
        <w:spacing w:after="0" w:line="193"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3380" w:type="dxa"/>
            <w:vAlign w:val="bottom"/>
          </w:tcPr>
          <w:p>
            <w:pPr>
              <w:jc w:val="center"/>
              <w:ind w:right="1630"/>
              <w:spacing w:after="0"/>
              <w:rPr>
                <w:sz w:val="20"/>
                <w:szCs w:val="20"/>
                <w:color w:val="auto"/>
              </w:rPr>
            </w:pPr>
            <w:r>
              <w:rPr>
                <w:rFonts w:ascii="Arial" w:cs="Arial" w:eastAsia="Arial" w:hAnsi="Arial"/>
                <w:sz w:val="18"/>
                <w:szCs w:val="18"/>
                <w:color w:val="auto"/>
                <w:w w:val="98"/>
              </w:rPr>
              <w:t>Brian J. Choi</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8"/>
              </w:rPr>
              <w:t>Glenn Lurie</w:t>
            </w:r>
          </w:p>
        </w:tc>
      </w:tr>
      <w:tr>
        <w:trPr>
          <w:trHeight w:val="203"/>
        </w:trPr>
        <w:tc>
          <w:tcPr>
            <w:tcW w:w="3380" w:type="dxa"/>
            <w:vAlign w:val="bottom"/>
          </w:tcPr>
          <w:p>
            <w:pPr>
              <w:jc w:val="center"/>
              <w:ind w:right="1630"/>
              <w:spacing w:after="0" w:line="202" w:lineRule="exact"/>
              <w:rPr>
                <w:sz w:val="20"/>
                <w:szCs w:val="20"/>
                <w:color w:val="auto"/>
              </w:rPr>
            </w:pPr>
            <w:r>
              <w:rPr>
                <w:rFonts w:ascii="Arial" w:cs="Arial" w:eastAsia="Arial" w:hAnsi="Arial"/>
                <w:sz w:val="18"/>
                <w:szCs w:val="18"/>
                <w:color w:val="auto"/>
                <w:w w:val="99"/>
              </w:rPr>
              <w:t>Mary C. Choksi</w:t>
            </w:r>
          </w:p>
        </w:tc>
        <w:tc>
          <w:tcPr>
            <w:tcW w:w="3420" w:type="dxa"/>
            <w:vAlign w:val="bottom"/>
          </w:tcPr>
          <w:p>
            <w:pPr>
              <w:jc w:val="center"/>
              <w:ind w:left="1650"/>
              <w:spacing w:after="0" w:line="202" w:lineRule="exact"/>
              <w:rPr>
                <w:sz w:val="20"/>
                <w:szCs w:val="20"/>
                <w:color w:val="auto"/>
              </w:rPr>
            </w:pPr>
            <w:r>
              <w:rPr>
                <w:rFonts w:ascii="Arial" w:cs="Arial" w:eastAsia="Arial" w:hAnsi="Arial"/>
                <w:sz w:val="18"/>
                <w:szCs w:val="18"/>
                <w:color w:val="auto"/>
                <w:w w:val="98"/>
              </w:rPr>
              <w:t>F. Robert Salerno</w:t>
            </w:r>
          </w:p>
        </w:tc>
      </w:tr>
      <w:tr>
        <w:trPr>
          <w:trHeight w:val="203"/>
        </w:trPr>
        <w:tc>
          <w:tcPr>
            <w:tcW w:w="3380" w:type="dxa"/>
            <w:vAlign w:val="bottom"/>
          </w:tcPr>
          <w:p>
            <w:pPr>
              <w:jc w:val="center"/>
              <w:ind w:right="1630"/>
              <w:spacing w:after="0" w:line="202" w:lineRule="exact"/>
              <w:rPr>
                <w:sz w:val="20"/>
                <w:szCs w:val="20"/>
                <w:color w:val="auto"/>
              </w:rPr>
            </w:pPr>
            <w:r>
              <w:rPr>
                <w:rFonts w:ascii="Arial" w:cs="Arial" w:eastAsia="Arial" w:hAnsi="Arial"/>
                <w:sz w:val="18"/>
                <w:szCs w:val="18"/>
                <w:color w:val="auto"/>
              </w:rPr>
              <w:t>Leonard S. Coleman</w:t>
            </w:r>
          </w:p>
        </w:tc>
        <w:tc>
          <w:tcPr>
            <w:tcW w:w="3420" w:type="dxa"/>
            <w:vAlign w:val="bottom"/>
          </w:tcPr>
          <w:p>
            <w:pPr>
              <w:jc w:val="center"/>
              <w:ind w:left="1650"/>
              <w:spacing w:after="0" w:line="202" w:lineRule="exact"/>
              <w:rPr>
                <w:sz w:val="20"/>
                <w:szCs w:val="20"/>
                <w:color w:val="auto"/>
              </w:rPr>
            </w:pPr>
            <w:r>
              <w:rPr>
                <w:rFonts w:ascii="Arial" w:cs="Arial" w:eastAsia="Arial" w:hAnsi="Arial"/>
                <w:sz w:val="18"/>
                <w:szCs w:val="18"/>
                <w:color w:val="auto"/>
              </w:rPr>
              <w:t>Francis J. Shammo</w:t>
            </w:r>
          </w:p>
        </w:tc>
      </w:tr>
      <w:tr>
        <w:trPr>
          <w:trHeight w:val="203"/>
        </w:trPr>
        <w:tc>
          <w:tcPr>
            <w:tcW w:w="3380" w:type="dxa"/>
            <w:vAlign w:val="bottom"/>
          </w:tcPr>
          <w:p>
            <w:pPr>
              <w:jc w:val="center"/>
              <w:ind w:right="1650"/>
              <w:spacing w:after="0" w:line="202" w:lineRule="exact"/>
              <w:rPr>
                <w:sz w:val="20"/>
                <w:szCs w:val="20"/>
                <w:color w:val="auto"/>
              </w:rPr>
            </w:pPr>
            <w:r>
              <w:rPr>
                <w:rFonts w:ascii="Arial" w:cs="Arial" w:eastAsia="Arial" w:hAnsi="Arial"/>
                <w:sz w:val="18"/>
                <w:szCs w:val="18"/>
                <w:color w:val="auto"/>
                <w:w w:val="99"/>
              </w:rPr>
              <w:t>Jeffrey H. Fox</w:t>
            </w:r>
          </w:p>
        </w:tc>
        <w:tc>
          <w:tcPr>
            <w:tcW w:w="3420" w:type="dxa"/>
            <w:vAlign w:val="bottom"/>
          </w:tcPr>
          <w:p>
            <w:pPr>
              <w:jc w:val="center"/>
              <w:ind w:left="1650"/>
              <w:spacing w:after="0" w:line="202" w:lineRule="exact"/>
              <w:rPr>
                <w:sz w:val="20"/>
                <w:szCs w:val="20"/>
                <w:color w:val="auto"/>
              </w:rPr>
            </w:pPr>
            <w:r>
              <w:rPr>
                <w:rFonts w:ascii="Arial" w:cs="Arial" w:eastAsia="Arial" w:hAnsi="Arial"/>
                <w:sz w:val="18"/>
                <w:szCs w:val="18"/>
                <w:color w:val="auto"/>
              </w:rPr>
              <w:t>Carl Sparks</w:t>
            </w:r>
          </w:p>
        </w:tc>
      </w:tr>
      <w:tr>
        <w:trPr>
          <w:trHeight w:val="217"/>
        </w:trPr>
        <w:tc>
          <w:tcPr>
            <w:tcW w:w="3380" w:type="dxa"/>
            <w:vAlign w:val="bottom"/>
          </w:tcPr>
          <w:p>
            <w:pPr>
              <w:jc w:val="center"/>
              <w:ind w:right="1630"/>
              <w:spacing w:after="0"/>
              <w:rPr>
                <w:sz w:val="20"/>
                <w:szCs w:val="20"/>
                <w:color w:val="auto"/>
              </w:rPr>
            </w:pPr>
            <w:r>
              <w:rPr>
                <w:rFonts w:ascii="Arial" w:cs="Arial" w:eastAsia="Arial" w:hAnsi="Arial"/>
                <w:sz w:val="18"/>
                <w:szCs w:val="18"/>
                <w:color w:val="auto"/>
              </w:rPr>
              <w:t>Lynn Krominga</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9"/>
              </w:rPr>
              <w:t>Sanoke Viswanathan</w:t>
            </w:r>
          </w:p>
        </w:tc>
      </w:tr>
    </w:tbl>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also maintain a Corporate Governance Committee, a Compensation Committee and an Audit Committee, and all of the directors serving on these committees are independent based upon NASDAQ corporate governance listing standards and our own director independence criteria.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current Board leadership structure consists of:</w:t>
      </w:r>
    </w:p>
    <w:p>
      <w:pPr>
        <w:spacing w:after="0" w:line="22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Independent Chairman of the Board: Leonard S. Coleman;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Chief Executive Officer: Larry D. De Shon; and</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Fully independent Compensation, Corporate Governance and Audit Committees.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of Directors, which is comprised of individuals who have extensive experience with board processes, has determined that the current leadership structure, as described above, best serves the Company and its shareholders.</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split the roles of Chief Executive Officer and Chairman in 2015, and appointed an independent Chairman in 2018. However, the Board does not currently have a requirement that the roles of Chief Executive Officer and Chairman of the Board be separated, or if separated that the Chairman be independent. The Board believes it is in the best interest of our Company to make the determination based on the position and direction of our Company and the constitution of the Board and management team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Management and Risk Assessment</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Board/Committee</w:t>
            </w:r>
          </w:p>
        </w:tc>
        <w:tc>
          <w:tcPr>
            <w:tcW w:w="8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Responsibility/Role</w:t>
            </w:r>
          </w:p>
        </w:tc>
      </w:tr>
      <w:tr>
        <w:trPr>
          <w:trHeight w:val="215"/>
        </w:trPr>
        <w:tc>
          <w:tcPr>
            <w:tcW w:w="2880" w:type="dxa"/>
            <w:vAlign w:val="bottom"/>
            <w:shd w:val="clear" w:color="auto" w:fill="CCCCCC"/>
          </w:tcPr>
          <w:p>
            <w:pPr>
              <w:ind w:left="60"/>
              <w:spacing w:after="0"/>
              <w:rPr>
                <w:sz w:val="20"/>
                <w:szCs w:val="20"/>
                <w:color w:val="auto"/>
              </w:rPr>
            </w:pPr>
            <w:r>
              <w:rPr>
                <w:rFonts w:ascii="Arial" w:cs="Arial" w:eastAsia="Arial" w:hAnsi="Arial"/>
                <w:sz w:val="18"/>
                <w:szCs w:val="18"/>
                <w:color w:val="auto"/>
              </w:rPr>
              <w:t>Audit Committee</w:t>
            </w:r>
          </w:p>
        </w:tc>
        <w:tc>
          <w:tcPr>
            <w:tcW w:w="460" w:type="dxa"/>
            <w:vAlign w:val="bottom"/>
            <w:shd w:val="clear" w:color="auto" w:fill="CCCCCC"/>
          </w:tcPr>
          <w:p>
            <w:pPr>
              <w:spacing w:after="0"/>
              <w:rPr>
                <w:sz w:val="20"/>
                <w:szCs w:val="20"/>
                <w:color w:val="auto"/>
              </w:rPr>
            </w:pPr>
            <w:r>
              <w:rPr>
                <w:rFonts w:ascii="Arial" w:cs="Arial" w:eastAsia="Arial" w:hAnsi="Arial"/>
                <w:sz w:val="18"/>
                <w:szCs w:val="18"/>
                <w:color w:val="auto"/>
              </w:rPr>
              <w:t>·</w:t>
            </w:r>
          </w:p>
        </w:tc>
        <w:tc>
          <w:tcPr>
            <w:tcW w:w="8080" w:type="dxa"/>
            <w:vAlign w:val="bottom"/>
            <w:gridSpan w:val="2"/>
            <w:shd w:val="clear" w:color="auto" w:fill="CCCCCC"/>
          </w:tcPr>
          <w:p>
            <w:pPr>
              <w:spacing w:after="0"/>
              <w:rPr>
                <w:sz w:val="20"/>
                <w:szCs w:val="20"/>
                <w:color w:val="auto"/>
              </w:rPr>
            </w:pPr>
            <w:r>
              <w:rPr>
                <w:rFonts w:ascii="Arial" w:cs="Arial" w:eastAsia="Arial" w:hAnsi="Arial"/>
                <w:sz w:val="18"/>
                <w:szCs w:val="18"/>
                <w:color w:val="auto"/>
              </w:rPr>
              <w:t>Assists in the Board’s oversight of the Company’s:</w:t>
            </w:r>
          </w:p>
        </w:tc>
      </w:tr>
      <w:tr>
        <w:trPr>
          <w:trHeight w:val="216"/>
        </w:trPr>
        <w:tc>
          <w:tcPr>
            <w:tcW w:w="2880" w:type="dxa"/>
            <w:vAlign w:val="bottom"/>
            <w:shd w:val="clear" w:color="auto" w:fill="CCCCCC"/>
          </w:tcPr>
          <w:p>
            <w:pPr>
              <w:spacing w:after="0"/>
              <w:rPr>
                <w:sz w:val="18"/>
                <w:szCs w:val="18"/>
                <w:color w:val="auto"/>
              </w:rPr>
            </w:pPr>
          </w:p>
        </w:tc>
        <w:tc>
          <w:tcPr>
            <w:tcW w:w="460" w:type="dxa"/>
            <w:vAlign w:val="bottom"/>
            <w:shd w:val="clear" w:color="auto" w:fill="CCCCCC"/>
          </w:tcPr>
          <w:p>
            <w:pPr>
              <w:spacing w:after="0"/>
              <w:rPr>
                <w:sz w:val="18"/>
                <w:szCs w:val="18"/>
                <w:color w:val="auto"/>
              </w:rPr>
            </w:pPr>
          </w:p>
        </w:tc>
        <w:tc>
          <w:tcPr>
            <w:tcW w:w="8080" w:type="dxa"/>
            <w:vAlign w:val="bottom"/>
            <w:gridSpan w:val="2"/>
            <w:shd w:val="clear" w:color="auto" w:fill="CCCCCC"/>
          </w:tcPr>
          <w:p>
            <w:pPr>
              <w:ind w:left="220"/>
              <w:spacing w:after="0"/>
              <w:rPr>
                <w:sz w:val="20"/>
                <w:szCs w:val="20"/>
                <w:color w:val="auto"/>
              </w:rPr>
            </w:pPr>
            <w:r>
              <w:rPr>
                <w:rFonts w:ascii="Arial" w:cs="Arial" w:eastAsia="Arial" w:hAnsi="Arial"/>
                <w:sz w:val="18"/>
                <w:szCs w:val="18"/>
                <w:color w:val="auto"/>
              </w:rPr>
              <w:t>►  major financial risk exposures and the steps management has undertaken to control such</w:t>
            </w:r>
          </w:p>
        </w:tc>
      </w:tr>
      <w:tr>
        <w:trPr>
          <w:trHeight w:val="203"/>
        </w:trPr>
        <w:tc>
          <w:tcPr>
            <w:tcW w:w="2880" w:type="dxa"/>
            <w:vAlign w:val="bottom"/>
            <w:shd w:val="clear" w:color="auto" w:fill="CCCCCC"/>
          </w:tcPr>
          <w:p>
            <w:pPr>
              <w:spacing w:after="0"/>
              <w:rPr>
                <w:sz w:val="17"/>
                <w:szCs w:val="17"/>
                <w:color w:val="auto"/>
              </w:rPr>
            </w:pPr>
          </w:p>
        </w:tc>
        <w:tc>
          <w:tcPr>
            <w:tcW w:w="460" w:type="dxa"/>
            <w:vAlign w:val="bottom"/>
            <w:shd w:val="clear" w:color="auto" w:fill="CCCCCC"/>
          </w:tcPr>
          <w:p>
            <w:pPr>
              <w:spacing w:after="0"/>
              <w:rPr>
                <w:sz w:val="17"/>
                <w:szCs w:val="17"/>
                <w:color w:val="auto"/>
              </w:rPr>
            </w:pPr>
          </w:p>
        </w:tc>
        <w:tc>
          <w:tcPr>
            <w:tcW w:w="560" w:type="dxa"/>
            <w:vAlign w:val="bottom"/>
            <w:shd w:val="clear" w:color="auto" w:fill="CCCCCC"/>
          </w:tcPr>
          <w:p>
            <w:pPr>
              <w:spacing w:after="0"/>
              <w:rPr>
                <w:sz w:val="17"/>
                <w:szCs w:val="17"/>
                <w:color w:val="auto"/>
              </w:rPr>
            </w:pPr>
          </w:p>
        </w:tc>
        <w:tc>
          <w:tcPr>
            <w:tcW w:w="7520" w:type="dxa"/>
            <w:vAlign w:val="bottom"/>
            <w:shd w:val="clear" w:color="auto" w:fill="CCCCCC"/>
          </w:tcPr>
          <w:p>
            <w:pPr>
              <w:spacing w:after="0" w:line="203" w:lineRule="exact"/>
              <w:rPr>
                <w:sz w:val="20"/>
                <w:szCs w:val="20"/>
                <w:color w:val="auto"/>
              </w:rPr>
            </w:pPr>
            <w:r>
              <w:rPr>
                <w:rFonts w:ascii="Arial" w:cs="Arial" w:eastAsia="Arial" w:hAnsi="Arial"/>
                <w:sz w:val="18"/>
                <w:szCs w:val="18"/>
                <w:color w:val="auto"/>
              </w:rPr>
              <w:t>risks;</w:t>
            </w:r>
          </w:p>
        </w:tc>
      </w:tr>
      <w:tr>
        <w:trPr>
          <w:trHeight w:val="432"/>
        </w:trPr>
        <w:tc>
          <w:tcPr>
            <w:tcW w:w="2880" w:type="dxa"/>
            <w:vAlign w:val="bottom"/>
            <w:shd w:val="clear" w:color="auto" w:fill="CCCCCC"/>
          </w:tcPr>
          <w:p>
            <w:pPr>
              <w:spacing w:after="0"/>
              <w:rPr>
                <w:sz w:val="24"/>
                <w:szCs w:val="24"/>
                <w:color w:val="auto"/>
              </w:rPr>
            </w:pPr>
          </w:p>
        </w:tc>
        <w:tc>
          <w:tcPr>
            <w:tcW w:w="460" w:type="dxa"/>
            <w:vAlign w:val="bottom"/>
            <w:shd w:val="clear" w:color="auto" w:fill="CCCCCC"/>
          </w:tcPr>
          <w:p>
            <w:pPr>
              <w:spacing w:after="0"/>
              <w:rPr>
                <w:sz w:val="24"/>
                <w:szCs w:val="24"/>
                <w:color w:val="auto"/>
              </w:rPr>
            </w:pPr>
          </w:p>
        </w:tc>
        <w:tc>
          <w:tcPr>
            <w:tcW w:w="560" w:type="dxa"/>
            <w:vAlign w:val="bottom"/>
            <w:shd w:val="clear" w:color="auto" w:fill="CCCCCC"/>
          </w:tcPr>
          <w:p>
            <w:pPr>
              <w:ind w:left="220"/>
              <w:spacing w:after="0"/>
              <w:rPr>
                <w:sz w:val="20"/>
                <w:szCs w:val="20"/>
                <w:color w:val="auto"/>
              </w:rPr>
            </w:pPr>
            <w:r>
              <w:rPr>
                <w:rFonts w:ascii="Arial" w:cs="Arial" w:eastAsia="Arial" w:hAnsi="Arial"/>
                <w:sz w:val="18"/>
                <w:szCs w:val="18"/>
                <w:color w:val="auto"/>
              </w:rPr>
              <w:t>►</w:t>
            </w:r>
          </w:p>
        </w:tc>
        <w:tc>
          <w:tcPr>
            <w:tcW w:w="7520" w:type="dxa"/>
            <w:vAlign w:val="bottom"/>
            <w:shd w:val="clear" w:color="auto" w:fill="CCCCCC"/>
          </w:tcPr>
          <w:p>
            <w:pPr>
              <w:spacing w:after="0"/>
              <w:rPr>
                <w:sz w:val="20"/>
                <w:szCs w:val="20"/>
                <w:color w:val="auto"/>
              </w:rPr>
            </w:pPr>
            <w:r>
              <w:rPr>
                <w:rFonts w:ascii="Arial" w:cs="Arial" w:eastAsia="Arial" w:hAnsi="Arial"/>
                <w:sz w:val="18"/>
                <w:szCs w:val="18"/>
                <w:color w:val="auto"/>
              </w:rPr>
              <w:t>risks associated with information technology and cybersecurity; and</w:t>
            </w:r>
          </w:p>
        </w:tc>
      </w:tr>
      <w:tr>
        <w:trPr>
          <w:trHeight w:val="432"/>
        </w:trPr>
        <w:tc>
          <w:tcPr>
            <w:tcW w:w="2880" w:type="dxa"/>
            <w:vAlign w:val="bottom"/>
            <w:tcBorders>
              <w:bottom w:val="single" w:sz="8" w:color="auto"/>
            </w:tcBorders>
            <w:shd w:val="clear" w:color="auto" w:fill="CCCCCC"/>
          </w:tcPr>
          <w:p>
            <w:pPr>
              <w:spacing w:after="0"/>
              <w:rPr>
                <w:sz w:val="24"/>
                <w:szCs w:val="24"/>
                <w:color w:val="auto"/>
              </w:rPr>
            </w:pPr>
          </w:p>
        </w:tc>
        <w:tc>
          <w:tcPr>
            <w:tcW w:w="460" w:type="dxa"/>
            <w:vAlign w:val="bottom"/>
            <w:tcBorders>
              <w:bottom w:val="single" w:sz="8" w:color="auto"/>
            </w:tcBorders>
            <w:shd w:val="clear" w:color="auto" w:fill="CCCCCC"/>
          </w:tcPr>
          <w:p>
            <w:pPr>
              <w:spacing w:after="0"/>
              <w:rPr>
                <w:sz w:val="24"/>
                <w:szCs w:val="24"/>
                <w:color w:val="auto"/>
              </w:rPr>
            </w:pPr>
          </w:p>
        </w:tc>
        <w:tc>
          <w:tcPr>
            <w:tcW w:w="56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8"/>
                <w:szCs w:val="18"/>
                <w:color w:val="auto"/>
              </w:rPr>
              <w:t>►</w:t>
            </w:r>
          </w:p>
        </w:tc>
        <w:tc>
          <w:tcPr>
            <w:tcW w:w="7520" w:type="dxa"/>
            <w:vAlign w:val="bottom"/>
            <w:tcBorders>
              <w:bottom w:val="single" w:sz="8" w:color="auto"/>
            </w:tcBorders>
            <w:shd w:val="clear" w:color="auto" w:fill="CCCCCC"/>
          </w:tcPr>
          <w:p>
            <w:pPr>
              <w:spacing w:after="0"/>
              <w:rPr>
                <w:sz w:val="20"/>
                <w:szCs w:val="20"/>
                <w:color w:val="auto"/>
              </w:rPr>
            </w:pPr>
            <w:r>
              <w:rPr>
                <w:rFonts w:ascii="Arial" w:cs="Arial" w:eastAsia="Arial" w:hAnsi="Arial"/>
                <w:sz w:val="18"/>
                <w:szCs w:val="18"/>
                <w:color w:val="auto"/>
              </w:rPr>
              <w:t>compliance with legal and regulatory requirements.</w:t>
            </w:r>
          </w:p>
        </w:tc>
      </w:tr>
      <w:tr>
        <w:trPr>
          <w:trHeight w:val="209"/>
        </w:trPr>
        <w:tc>
          <w:tcPr>
            <w:tcW w:w="2880" w:type="dxa"/>
            <w:vAlign w:val="bottom"/>
          </w:tcPr>
          <w:p>
            <w:pPr>
              <w:ind w:left="60"/>
              <w:spacing w:after="0"/>
              <w:rPr>
                <w:sz w:val="20"/>
                <w:szCs w:val="20"/>
                <w:color w:val="auto"/>
              </w:rPr>
            </w:pPr>
            <w:r>
              <w:rPr>
                <w:rFonts w:ascii="Arial" w:cs="Arial" w:eastAsia="Arial" w:hAnsi="Arial"/>
                <w:sz w:val="18"/>
                <w:szCs w:val="18"/>
                <w:color w:val="auto"/>
              </w:rPr>
              <w:t>Compensation Committee</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080" w:type="dxa"/>
            <w:vAlign w:val="bottom"/>
            <w:gridSpan w:val="2"/>
          </w:tcPr>
          <w:p>
            <w:pPr>
              <w:spacing w:after="0"/>
              <w:rPr>
                <w:sz w:val="20"/>
                <w:szCs w:val="20"/>
                <w:color w:val="auto"/>
              </w:rPr>
            </w:pPr>
            <w:r>
              <w:rPr>
                <w:rFonts w:ascii="Arial" w:cs="Arial" w:eastAsia="Arial" w:hAnsi="Arial"/>
                <w:sz w:val="18"/>
                <w:szCs w:val="18"/>
                <w:color w:val="auto"/>
              </w:rPr>
              <w:t>Oversees risks associated with our compensation policies and practices with respect to executive</w:t>
            </w:r>
          </w:p>
        </w:tc>
      </w:tr>
      <w:tr>
        <w:trPr>
          <w:trHeight w:val="203"/>
        </w:trPr>
        <w:tc>
          <w:tcPr>
            <w:tcW w:w="2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compensation.</w:t>
            </w:r>
          </w:p>
        </w:tc>
      </w:tr>
      <w:tr>
        <w:trPr>
          <w:trHeight w:val="210"/>
        </w:trPr>
        <w:tc>
          <w:tcPr>
            <w:tcW w:w="3340" w:type="dxa"/>
            <w:vAlign w:val="bottom"/>
            <w:tcBorders>
              <w:bottom w:val="single" w:sz="8" w:color="auto"/>
            </w:tcBorders>
            <w:gridSpan w:val="2"/>
            <w:shd w:val="clear" w:color="auto" w:fill="CCCCCC"/>
          </w:tcPr>
          <w:p>
            <w:pPr>
              <w:ind w:left="60"/>
              <w:spacing w:after="0"/>
              <w:rPr>
                <w:sz w:val="20"/>
                <w:szCs w:val="20"/>
                <w:color w:val="auto"/>
              </w:rPr>
            </w:pPr>
            <w:r>
              <w:rPr>
                <w:rFonts w:ascii="Arial" w:cs="Arial" w:eastAsia="Arial" w:hAnsi="Arial"/>
                <w:sz w:val="18"/>
                <w:szCs w:val="18"/>
                <w:color w:val="auto"/>
              </w:rPr>
              <w:t>Corporate Governance Committee ·</w:t>
            </w:r>
          </w:p>
        </w:tc>
        <w:tc>
          <w:tcPr>
            <w:tcW w:w="8080" w:type="dxa"/>
            <w:vAlign w:val="bottom"/>
            <w:tcBorders>
              <w:bottom w:val="single" w:sz="8" w:color="auto"/>
            </w:tcBorders>
            <w:gridSpan w:val="2"/>
            <w:shd w:val="clear" w:color="auto" w:fill="CCCCCC"/>
          </w:tcPr>
          <w:p>
            <w:pPr>
              <w:spacing w:after="0"/>
              <w:rPr>
                <w:sz w:val="20"/>
                <w:szCs w:val="20"/>
                <w:color w:val="auto"/>
              </w:rPr>
            </w:pPr>
            <w:r>
              <w:rPr>
                <w:rFonts w:ascii="Arial" w:cs="Arial" w:eastAsia="Arial" w:hAnsi="Arial"/>
                <w:sz w:val="18"/>
                <w:szCs w:val="18"/>
                <w:color w:val="auto"/>
              </w:rPr>
              <w:t>Oversees risks associated with corporate governance.</w:t>
            </w:r>
          </w:p>
        </w:tc>
      </w:tr>
      <w:tr>
        <w:trPr>
          <w:trHeight w:val="224"/>
        </w:trPr>
        <w:tc>
          <w:tcPr>
            <w:tcW w:w="2880" w:type="dxa"/>
            <w:vAlign w:val="bottom"/>
          </w:tcPr>
          <w:p>
            <w:pPr>
              <w:ind w:left="60"/>
              <w:spacing w:after="0"/>
              <w:rPr>
                <w:sz w:val="20"/>
                <w:szCs w:val="20"/>
                <w:color w:val="auto"/>
              </w:rPr>
            </w:pPr>
            <w:r>
              <w:rPr>
                <w:rFonts w:ascii="Arial" w:cs="Arial" w:eastAsia="Arial" w:hAnsi="Arial"/>
                <w:sz w:val="18"/>
                <w:szCs w:val="18"/>
                <w:color w:val="auto"/>
              </w:rPr>
              <w:t>Full Board</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080" w:type="dxa"/>
            <w:vAlign w:val="bottom"/>
            <w:gridSpan w:val="2"/>
          </w:tcPr>
          <w:p>
            <w:pPr>
              <w:spacing w:after="0"/>
              <w:rPr>
                <w:sz w:val="20"/>
                <w:szCs w:val="20"/>
                <w:color w:val="auto"/>
              </w:rPr>
            </w:pPr>
            <w:r>
              <w:rPr>
                <w:rFonts w:ascii="Arial" w:cs="Arial" w:eastAsia="Arial" w:hAnsi="Arial"/>
                <w:sz w:val="18"/>
                <w:szCs w:val="18"/>
                <w:color w:val="auto"/>
              </w:rPr>
              <w:t>Receives reports from the Committees at every regular Board meeting.</w:t>
            </w:r>
          </w:p>
        </w:tc>
      </w:tr>
      <w:tr>
        <w:trPr>
          <w:trHeight w:val="418"/>
        </w:trPr>
        <w:tc>
          <w:tcPr>
            <w:tcW w:w="28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080" w:type="dxa"/>
            <w:vAlign w:val="bottom"/>
            <w:gridSpan w:val="2"/>
          </w:tcPr>
          <w:p>
            <w:pPr>
              <w:spacing w:after="0"/>
              <w:rPr>
                <w:sz w:val="20"/>
                <w:szCs w:val="20"/>
                <w:color w:val="auto"/>
              </w:rPr>
            </w:pPr>
            <w:r>
              <w:rPr>
                <w:rFonts w:ascii="Arial" w:cs="Arial" w:eastAsia="Arial" w:hAnsi="Arial"/>
                <w:sz w:val="18"/>
                <w:szCs w:val="18"/>
                <w:color w:val="auto"/>
              </w:rPr>
              <w:t>Considers specific risk topics.</w:t>
            </w:r>
          </w:p>
        </w:tc>
      </w:tr>
      <w:tr>
        <w:trPr>
          <w:trHeight w:val="431"/>
        </w:trPr>
        <w:tc>
          <w:tcPr>
            <w:tcW w:w="288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080" w:type="dxa"/>
            <w:vAlign w:val="bottom"/>
            <w:gridSpan w:val="2"/>
          </w:tcPr>
          <w:p>
            <w:pPr>
              <w:spacing w:after="0"/>
              <w:rPr>
                <w:sz w:val="20"/>
                <w:szCs w:val="20"/>
                <w:color w:val="auto"/>
              </w:rPr>
            </w:pPr>
            <w:r>
              <w:rPr>
                <w:rFonts w:ascii="Arial" w:cs="Arial" w:eastAsia="Arial" w:hAnsi="Arial"/>
                <w:sz w:val="18"/>
                <w:szCs w:val="18"/>
                <w:color w:val="auto"/>
              </w:rPr>
              <w:t>Receives regular reports from members of senior management that include discussion of the risks</w:t>
            </w:r>
          </w:p>
        </w:tc>
      </w:tr>
      <w:tr>
        <w:trPr>
          <w:trHeight w:val="216"/>
        </w:trPr>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and exposures involved in their respective areas of responsibility. Such reports are provided in</w:t>
            </w:r>
          </w:p>
        </w:tc>
      </w:tr>
      <w:tr>
        <w:trPr>
          <w:trHeight w:val="210"/>
        </w:trPr>
        <w:tc>
          <w:tcPr>
            <w:tcW w:w="2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8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connection with and discussed at Board meetings.</w:t>
            </w:r>
          </w:p>
        </w:tc>
      </w:tr>
    </w:tbl>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2019, management reviewed the Company’s compensation policies and practices for employees generally as they relate to risk management. As part of this process, management reviewed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were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were no recommended changes to the Company’s incentive compensation programs.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Communicating with the Board of Directors</w:t>
      </w:r>
    </w:p>
    <w:p>
      <w:pPr>
        <w:spacing w:after="0" w:line="23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Shareholders and other interested parties may send communications directly to the Board of Directors by writing to the Board of Directors, c/o the Corporate Secretary, Avis Budget Group, Inc., 6 Sylvan Way, Parsippany, N.J. 07054.</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addition, all parties interested in communicating directly with the Chairman of the Board or with any other independent director may do so by writing to Avis Budget Group, Inc. at the same address, Attention: Chairman of the Board, c/o the Corporate Secretary or via e-mail at </w:t>
      </w:r>
      <w:r>
        <w:rPr>
          <w:rFonts w:ascii="Arial" w:cs="Arial" w:eastAsia="Arial" w:hAnsi="Arial"/>
          <w:sz w:val="18"/>
          <w:szCs w:val="18"/>
          <w:i w:val="1"/>
          <w:iCs w:val="1"/>
          <w:color w:val="auto"/>
        </w:rPr>
        <w:t>chairman@avisbudget.com</w:t>
      </w:r>
      <w:r>
        <w:rPr>
          <w:rFonts w:ascii="Arial" w:cs="Arial" w:eastAsia="Arial" w:hAnsi="Arial"/>
          <w:sz w:val="18"/>
          <w:szCs w:val="18"/>
          <w:color w:val="auto"/>
        </w:rPr>
        <w:t>. The Chairman is responsible for reviewing and distributing all interested parties’ communications received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recipients and/or to the full Board of Directors, as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Codes of Conduct</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 promote honest and ethical conduct, including the ethical handling of</w:t>
      </w:r>
      <w:r>
        <w:rPr>
          <w:rFonts w:ascii="Arial" w:cs="Arial" w:eastAsia="Arial" w:hAnsi="Arial"/>
          <w:sz w:val="18"/>
          <w:szCs w:val="18"/>
          <w:i w:val="1"/>
          <w:iCs w:val="1"/>
          <w:color w:val="auto"/>
        </w:rPr>
        <w:t xml:space="preserve"> </w:t>
      </w:r>
      <w:r>
        <w:rPr>
          <w:rFonts w:ascii="Arial" w:cs="Arial" w:eastAsia="Arial" w:hAnsi="Arial"/>
          <w:sz w:val="18"/>
          <w:szCs w:val="18"/>
          <w:color w:val="auto"/>
        </w:rPr>
        <w:t>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held nine meetings during 2018. In 2018, all director nominees attended at least 75%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our goal is for a representative of each of the Audit Committee, Compensation Committee and Corporate Governance Committee to be present at each annual meeting. The 2018 annual meeting of shareholders was attended by eight directors, including a representative of each of the Audit, Compensation and Corporate Governance Committees.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standing committees of the Board include: the Audit Committee, the Compensation Committee, the Corporate Governance Committee and the Executive Committee.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Corporate</w:t>
            </w:r>
          </w:p>
        </w:tc>
        <w:tc>
          <w:tcPr>
            <w:tcW w:w="1760" w:type="dxa"/>
            <w:vAlign w:val="bottom"/>
          </w:tcPr>
          <w:p>
            <w:pPr>
              <w:spacing w:after="0"/>
              <w:rPr>
                <w:sz w:val="18"/>
                <w:szCs w:val="18"/>
                <w:color w:val="auto"/>
              </w:rPr>
            </w:pPr>
          </w:p>
        </w:tc>
      </w:tr>
      <w:tr>
        <w:trPr>
          <w:trHeight w:val="232"/>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19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b w:val="1"/>
                <w:bCs w:val="1"/>
                <w:color w:val="auto"/>
                <w:w w:val="99"/>
              </w:rPr>
              <w:t>Audit</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176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b w:val="1"/>
                <w:bCs w:val="1"/>
                <w:color w:val="auto"/>
                <w:w w:val="99"/>
              </w:rPr>
              <w:t>Executive</w:t>
            </w:r>
          </w:p>
        </w:tc>
      </w:tr>
      <w:tr>
        <w:trPr>
          <w:trHeight w:val="216"/>
        </w:trPr>
        <w:tc>
          <w:tcPr>
            <w:tcW w:w="41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Brian J. Choi</w:t>
            </w:r>
          </w:p>
        </w:tc>
        <w:tc>
          <w:tcPr>
            <w:tcW w:w="1960" w:type="dxa"/>
            <w:vAlign w:val="bottom"/>
            <w:tcBorders>
              <w:bottom w:val="single" w:sz="8" w:color="auto"/>
            </w:tcBorders>
            <w:shd w:val="clear" w:color="auto" w:fill="CCCCCC"/>
          </w:tcPr>
          <w:p>
            <w:pPr>
              <w:spacing w:after="0"/>
              <w:rPr>
                <w:sz w:val="18"/>
                <w:szCs w:val="18"/>
                <w:color w:val="auto"/>
              </w:rPr>
            </w:pPr>
          </w:p>
        </w:tc>
        <w:tc>
          <w:tcPr>
            <w:tcW w:w="18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79"/>
              </w:rPr>
              <w:t>ü</w:t>
            </w:r>
          </w:p>
        </w:tc>
        <w:tc>
          <w:tcPr>
            <w:tcW w:w="1720" w:type="dxa"/>
            <w:vAlign w:val="bottom"/>
            <w:tcBorders>
              <w:bottom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9"/>
              </w:rPr>
              <w:t>ü</w:t>
            </w:r>
          </w:p>
        </w:tc>
        <w:tc>
          <w:tcPr>
            <w:tcW w:w="1760" w:type="dxa"/>
            <w:vAlign w:val="bottom"/>
            <w:tcBorders>
              <w:bottom w:val="single" w:sz="8" w:color="auto"/>
            </w:tcBorders>
            <w:shd w:val="clear" w:color="auto" w:fill="CCCCCC"/>
          </w:tcPr>
          <w:p>
            <w:pPr>
              <w:spacing w:after="0"/>
              <w:rPr>
                <w:sz w:val="18"/>
                <w:szCs w:val="18"/>
                <w:color w:val="auto"/>
              </w:rPr>
            </w:pPr>
          </w:p>
        </w:tc>
      </w:tr>
      <w:tr>
        <w:trPr>
          <w:trHeight w:val="21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Mary C. Choksi</w:t>
            </w:r>
          </w:p>
        </w:tc>
        <w:tc>
          <w:tcPr>
            <w:tcW w:w="19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Chair</w:t>
            </w:r>
          </w:p>
        </w:tc>
        <w:tc>
          <w:tcPr>
            <w:tcW w:w="17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Leonard S. Coleman</w:t>
            </w:r>
          </w:p>
        </w:tc>
        <w:tc>
          <w:tcPr>
            <w:tcW w:w="1960" w:type="dxa"/>
            <w:vAlign w:val="bottom"/>
            <w:tcBorders>
              <w:bottom w:val="single" w:sz="8" w:color="auto"/>
            </w:tcBorders>
            <w:shd w:val="clear" w:color="auto" w:fill="CCCCCC"/>
          </w:tcPr>
          <w:p>
            <w:pPr>
              <w:spacing w:after="0"/>
              <w:rPr>
                <w:sz w:val="18"/>
                <w:szCs w:val="18"/>
                <w:color w:val="auto"/>
              </w:rPr>
            </w:pPr>
          </w:p>
        </w:tc>
        <w:tc>
          <w:tcPr>
            <w:tcW w:w="18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79"/>
              </w:rPr>
              <w:t>ü</w:t>
            </w:r>
          </w:p>
        </w:tc>
        <w:tc>
          <w:tcPr>
            <w:tcW w:w="1720" w:type="dxa"/>
            <w:vAlign w:val="bottom"/>
            <w:tcBorders>
              <w:bottom w:val="single" w:sz="8" w:color="auto"/>
            </w:tcBorders>
            <w:shd w:val="clear" w:color="auto" w:fill="CCCCCC"/>
          </w:tcPr>
          <w:p>
            <w:pPr>
              <w:jc w:val="center"/>
              <w:ind w:right="10"/>
              <w:spacing w:after="0"/>
              <w:rPr>
                <w:sz w:val="20"/>
                <w:szCs w:val="20"/>
                <w:color w:val="auto"/>
              </w:rPr>
            </w:pPr>
            <w:r>
              <w:rPr>
                <w:rFonts w:ascii="Arial" w:cs="Arial" w:eastAsia="Arial" w:hAnsi="Arial"/>
                <w:sz w:val="18"/>
                <w:szCs w:val="18"/>
                <w:color w:val="auto"/>
                <w:w w:val="99"/>
              </w:rPr>
              <w:t>ü</w:t>
            </w:r>
          </w:p>
        </w:tc>
        <w:tc>
          <w:tcPr>
            <w:tcW w:w="1760" w:type="dxa"/>
            <w:vAlign w:val="bottom"/>
            <w:tcBorders>
              <w:bottom w:val="single" w:sz="8" w:color="auto"/>
            </w:tcBorders>
            <w:shd w:val="clear" w:color="auto" w:fill="CCCCCC"/>
          </w:tcPr>
          <w:p>
            <w:pPr>
              <w:jc w:val="center"/>
              <w:ind w:right="74"/>
              <w:spacing w:after="0"/>
              <w:rPr>
                <w:sz w:val="20"/>
                <w:szCs w:val="20"/>
                <w:color w:val="auto"/>
              </w:rPr>
            </w:pPr>
            <w:r>
              <w:rPr>
                <w:rFonts w:ascii="Arial" w:cs="Arial" w:eastAsia="Arial" w:hAnsi="Arial"/>
                <w:sz w:val="18"/>
                <w:szCs w:val="18"/>
                <w:color w:val="auto"/>
              </w:rPr>
              <w:t>Chair</w:t>
            </w:r>
          </w:p>
        </w:tc>
      </w:tr>
      <w:tr>
        <w:trPr>
          <w:trHeight w:val="21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Larry D. De Shon</w:t>
            </w:r>
          </w:p>
        </w:tc>
        <w:tc>
          <w:tcPr>
            <w:tcW w:w="19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79"/>
              </w:rPr>
              <w:t>ü</w:t>
            </w:r>
          </w:p>
        </w:tc>
      </w:tr>
      <w:tr>
        <w:trPr>
          <w:trHeight w:val="210"/>
        </w:trPr>
        <w:tc>
          <w:tcPr>
            <w:tcW w:w="41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Jeffrey H. Fox</w:t>
            </w:r>
          </w:p>
        </w:tc>
        <w:tc>
          <w:tcPr>
            <w:tcW w:w="1960" w:type="dxa"/>
            <w:vAlign w:val="bottom"/>
            <w:tcBorders>
              <w:bottom w:val="single" w:sz="8" w:color="auto"/>
            </w:tcBorders>
            <w:shd w:val="clear" w:color="auto" w:fill="CCCCCC"/>
          </w:tcPr>
          <w:p>
            <w:pPr>
              <w:spacing w:after="0"/>
              <w:rPr>
                <w:sz w:val="18"/>
                <w:szCs w:val="18"/>
                <w:color w:val="auto"/>
              </w:rPr>
            </w:pPr>
          </w:p>
        </w:tc>
        <w:tc>
          <w:tcPr>
            <w:tcW w:w="18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8"/>
                <w:szCs w:val="18"/>
                <w:color w:val="auto"/>
                <w:w w:val="79"/>
              </w:rPr>
              <w:t>ü</w:t>
            </w:r>
          </w:p>
        </w:tc>
        <w:tc>
          <w:tcPr>
            <w:tcW w:w="1720" w:type="dxa"/>
            <w:vAlign w:val="bottom"/>
            <w:tcBorders>
              <w:bottom w:val="single" w:sz="8" w:color="auto"/>
            </w:tcBorders>
            <w:shd w:val="clear" w:color="auto" w:fill="CCCCCC"/>
          </w:tcPr>
          <w:p>
            <w:pPr>
              <w:spacing w:after="0"/>
              <w:rPr>
                <w:sz w:val="18"/>
                <w:szCs w:val="18"/>
                <w:color w:val="auto"/>
              </w:rPr>
            </w:pPr>
          </w:p>
        </w:tc>
        <w:tc>
          <w:tcPr>
            <w:tcW w:w="1760" w:type="dxa"/>
            <w:vAlign w:val="bottom"/>
            <w:tcBorders>
              <w:bottom w:val="single" w:sz="8" w:color="auto"/>
            </w:tcBorders>
            <w:shd w:val="clear" w:color="auto" w:fill="CCCCCC"/>
          </w:tcPr>
          <w:p>
            <w:pPr>
              <w:spacing w:after="0"/>
              <w:rPr>
                <w:sz w:val="18"/>
                <w:szCs w:val="18"/>
                <w:color w:val="auto"/>
              </w:rPr>
            </w:pPr>
          </w:p>
        </w:tc>
      </w:tr>
      <w:tr>
        <w:trPr>
          <w:trHeight w:val="21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Lynn Krominga</w:t>
            </w:r>
          </w:p>
        </w:tc>
        <w:tc>
          <w:tcPr>
            <w:tcW w:w="19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9"/>
              </w:rPr>
              <w:t>ü</w:t>
            </w:r>
          </w:p>
        </w:tc>
        <w:tc>
          <w:tcPr>
            <w:tcW w:w="1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Chair</w:t>
            </w:r>
          </w:p>
        </w:tc>
        <w:tc>
          <w:tcPr>
            <w:tcW w:w="176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Glenn Lurie</w:t>
            </w:r>
          </w:p>
        </w:tc>
        <w:tc>
          <w:tcPr>
            <w:tcW w:w="1960" w:type="dxa"/>
            <w:vAlign w:val="bottom"/>
            <w:tcBorders>
              <w:bottom w:val="single" w:sz="8" w:color="auto"/>
            </w:tcBorders>
            <w:shd w:val="clear" w:color="auto" w:fill="CCCCCC"/>
          </w:tcPr>
          <w:p>
            <w:pPr>
              <w:jc w:val="center"/>
              <w:ind w:left="730"/>
              <w:spacing w:after="0"/>
              <w:rPr>
                <w:sz w:val="20"/>
                <w:szCs w:val="20"/>
                <w:color w:val="auto"/>
              </w:rPr>
            </w:pPr>
            <w:r>
              <w:rPr>
                <w:rFonts w:ascii="Arial" w:cs="Arial" w:eastAsia="Arial" w:hAnsi="Arial"/>
                <w:sz w:val="18"/>
                <w:szCs w:val="18"/>
                <w:color w:val="auto"/>
                <w:w w:val="99"/>
              </w:rPr>
              <w:t>ü</w:t>
            </w:r>
          </w:p>
        </w:tc>
        <w:tc>
          <w:tcPr>
            <w:tcW w:w="1880" w:type="dxa"/>
            <w:vAlign w:val="bottom"/>
            <w:tcBorders>
              <w:bottom w:val="single" w:sz="8" w:color="auto"/>
            </w:tcBorders>
            <w:shd w:val="clear" w:color="auto" w:fill="CCCCCC"/>
          </w:tcPr>
          <w:p>
            <w:pPr>
              <w:spacing w:after="0"/>
              <w:rPr>
                <w:sz w:val="18"/>
                <w:szCs w:val="18"/>
                <w:color w:val="auto"/>
              </w:rPr>
            </w:pPr>
          </w:p>
        </w:tc>
        <w:tc>
          <w:tcPr>
            <w:tcW w:w="1720" w:type="dxa"/>
            <w:vAlign w:val="bottom"/>
            <w:tcBorders>
              <w:bottom w:val="single" w:sz="8" w:color="auto"/>
            </w:tcBorders>
            <w:shd w:val="clear" w:color="auto" w:fill="CCCCCC"/>
          </w:tcPr>
          <w:p>
            <w:pPr>
              <w:spacing w:after="0"/>
              <w:rPr>
                <w:sz w:val="18"/>
                <w:szCs w:val="18"/>
                <w:color w:val="auto"/>
              </w:rPr>
            </w:pPr>
          </w:p>
        </w:tc>
        <w:tc>
          <w:tcPr>
            <w:tcW w:w="1760" w:type="dxa"/>
            <w:vAlign w:val="bottom"/>
            <w:tcBorders>
              <w:bottom w:val="single" w:sz="8" w:color="auto"/>
            </w:tcBorders>
            <w:shd w:val="clear" w:color="auto" w:fill="CCCCCC"/>
          </w:tcPr>
          <w:p>
            <w:pPr>
              <w:spacing w:after="0"/>
              <w:rPr>
                <w:sz w:val="18"/>
                <w:szCs w:val="18"/>
                <w:color w:val="auto"/>
              </w:rPr>
            </w:pPr>
          </w:p>
        </w:tc>
      </w:tr>
      <w:tr>
        <w:trPr>
          <w:trHeight w:val="21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Eduardo G. Mestre</w:t>
            </w:r>
          </w:p>
        </w:tc>
        <w:tc>
          <w:tcPr>
            <w:tcW w:w="19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79"/>
              </w:rPr>
              <w:t>ü</w:t>
            </w:r>
          </w:p>
        </w:tc>
      </w:tr>
      <w:tr>
        <w:trPr>
          <w:trHeight w:val="210"/>
        </w:trPr>
        <w:tc>
          <w:tcPr>
            <w:tcW w:w="41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Jagdeep Pahwa</w:t>
            </w:r>
          </w:p>
        </w:tc>
        <w:tc>
          <w:tcPr>
            <w:tcW w:w="1960" w:type="dxa"/>
            <w:vAlign w:val="bottom"/>
            <w:tcBorders>
              <w:bottom w:val="single" w:sz="8" w:color="auto"/>
            </w:tcBorders>
            <w:shd w:val="clear" w:color="auto" w:fill="CCCCCC"/>
          </w:tcPr>
          <w:p>
            <w:pPr>
              <w:spacing w:after="0"/>
              <w:rPr>
                <w:sz w:val="18"/>
                <w:szCs w:val="18"/>
                <w:color w:val="auto"/>
              </w:rPr>
            </w:pPr>
          </w:p>
        </w:tc>
        <w:tc>
          <w:tcPr>
            <w:tcW w:w="1880" w:type="dxa"/>
            <w:vAlign w:val="bottom"/>
            <w:tcBorders>
              <w:bottom w:val="single" w:sz="8" w:color="auto"/>
            </w:tcBorders>
            <w:shd w:val="clear" w:color="auto" w:fill="CCCCCC"/>
          </w:tcPr>
          <w:p>
            <w:pPr>
              <w:spacing w:after="0"/>
              <w:rPr>
                <w:sz w:val="18"/>
                <w:szCs w:val="18"/>
                <w:color w:val="auto"/>
              </w:rPr>
            </w:pPr>
          </w:p>
        </w:tc>
        <w:tc>
          <w:tcPr>
            <w:tcW w:w="1720" w:type="dxa"/>
            <w:vAlign w:val="bottom"/>
            <w:tcBorders>
              <w:bottom w:val="single" w:sz="8" w:color="auto"/>
            </w:tcBorders>
            <w:shd w:val="clear" w:color="auto" w:fill="CCCCCC"/>
          </w:tcPr>
          <w:p>
            <w:pPr>
              <w:spacing w:after="0"/>
              <w:rPr>
                <w:sz w:val="18"/>
                <w:szCs w:val="18"/>
                <w:color w:val="auto"/>
              </w:rPr>
            </w:pPr>
          </w:p>
        </w:tc>
        <w:tc>
          <w:tcPr>
            <w:tcW w:w="1760" w:type="dxa"/>
            <w:vAlign w:val="bottom"/>
            <w:tcBorders>
              <w:bottom w:val="single" w:sz="8" w:color="auto"/>
            </w:tcBorders>
            <w:shd w:val="clear" w:color="auto" w:fill="CCCCCC"/>
          </w:tcPr>
          <w:p>
            <w:pPr>
              <w:jc w:val="center"/>
              <w:ind w:right="74"/>
              <w:spacing w:after="0"/>
              <w:rPr>
                <w:sz w:val="20"/>
                <w:szCs w:val="20"/>
                <w:color w:val="auto"/>
              </w:rPr>
            </w:pPr>
            <w:r>
              <w:rPr>
                <w:rFonts w:ascii="Arial" w:cs="Arial" w:eastAsia="Arial" w:hAnsi="Arial"/>
                <w:sz w:val="18"/>
                <w:szCs w:val="18"/>
                <w:color w:val="auto"/>
                <w:w w:val="79"/>
              </w:rPr>
              <w:t>ü</w:t>
            </w:r>
          </w:p>
        </w:tc>
      </w:tr>
      <w:tr>
        <w:trPr>
          <w:trHeight w:val="21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 Robert Salerno</w:t>
            </w:r>
          </w:p>
        </w:tc>
        <w:tc>
          <w:tcPr>
            <w:tcW w:w="19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9"/>
              </w:rPr>
              <w:t>ü</w:t>
            </w:r>
          </w:p>
        </w:tc>
        <w:tc>
          <w:tcPr>
            <w:tcW w:w="1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ü</w:t>
            </w:r>
          </w:p>
        </w:tc>
        <w:tc>
          <w:tcPr>
            <w:tcW w:w="176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Francis J. Shammo</w:t>
            </w:r>
          </w:p>
        </w:tc>
        <w:tc>
          <w:tcPr>
            <w:tcW w:w="1960" w:type="dxa"/>
            <w:vAlign w:val="bottom"/>
            <w:tcBorders>
              <w:bottom w:val="single" w:sz="8" w:color="auto"/>
            </w:tcBorders>
            <w:shd w:val="clear" w:color="auto" w:fill="CCCCCC"/>
          </w:tcPr>
          <w:p>
            <w:pPr>
              <w:jc w:val="center"/>
              <w:ind w:left="730"/>
              <w:spacing w:after="0"/>
              <w:rPr>
                <w:sz w:val="20"/>
                <w:szCs w:val="20"/>
                <w:color w:val="auto"/>
              </w:rPr>
            </w:pPr>
            <w:r>
              <w:rPr>
                <w:rFonts w:ascii="Arial" w:cs="Arial" w:eastAsia="Arial" w:hAnsi="Arial"/>
                <w:sz w:val="18"/>
                <w:szCs w:val="18"/>
                <w:color w:val="auto"/>
                <w:w w:val="97"/>
              </w:rPr>
              <w:t>Chair</w:t>
            </w:r>
          </w:p>
        </w:tc>
        <w:tc>
          <w:tcPr>
            <w:tcW w:w="1880" w:type="dxa"/>
            <w:vAlign w:val="bottom"/>
            <w:tcBorders>
              <w:bottom w:val="single" w:sz="8" w:color="auto"/>
            </w:tcBorders>
            <w:shd w:val="clear" w:color="auto" w:fill="CCCCCC"/>
          </w:tcPr>
          <w:p>
            <w:pPr>
              <w:spacing w:after="0"/>
              <w:rPr>
                <w:sz w:val="18"/>
                <w:szCs w:val="18"/>
                <w:color w:val="auto"/>
              </w:rPr>
            </w:pPr>
          </w:p>
        </w:tc>
        <w:tc>
          <w:tcPr>
            <w:tcW w:w="1720" w:type="dxa"/>
            <w:vAlign w:val="bottom"/>
            <w:tcBorders>
              <w:bottom w:val="single" w:sz="8" w:color="auto"/>
            </w:tcBorders>
            <w:shd w:val="clear" w:color="auto" w:fill="CCCCCC"/>
          </w:tcPr>
          <w:p>
            <w:pPr>
              <w:spacing w:after="0"/>
              <w:rPr>
                <w:sz w:val="18"/>
                <w:szCs w:val="18"/>
                <w:color w:val="auto"/>
              </w:rPr>
            </w:pPr>
          </w:p>
        </w:tc>
        <w:tc>
          <w:tcPr>
            <w:tcW w:w="1760" w:type="dxa"/>
            <w:vAlign w:val="bottom"/>
            <w:tcBorders>
              <w:bottom w:val="single" w:sz="8" w:color="auto"/>
            </w:tcBorders>
            <w:shd w:val="clear" w:color="auto" w:fill="CCCCCC"/>
          </w:tcPr>
          <w:p>
            <w:pPr>
              <w:spacing w:after="0"/>
              <w:rPr>
                <w:sz w:val="18"/>
                <w:szCs w:val="18"/>
                <w:color w:val="auto"/>
              </w:rPr>
            </w:pPr>
          </w:p>
        </w:tc>
      </w:tr>
      <w:tr>
        <w:trPr>
          <w:trHeight w:val="210"/>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Carl Sparks</w:t>
            </w:r>
          </w:p>
        </w:tc>
        <w:tc>
          <w:tcPr>
            <w:tcW w:w="19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9"/>
              </w:rPr>
              <w:t>ü</w:t>
            </w:r>
          </w:p>
        </w:tc>
        <w:tc>
          <w:tcPr>
            <w:tcW w:w="1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Sanoke Viswanathan</w:t>
            </w:r>
          </w:p>
        </w:tc>
        <w:tc>
          <w:tcPr>
            <w:tcW w:w="1960" w:type="dxa"/>
            <w:vAlign w:val="bottom"/>
            <w:tcBorders>
              <w:bottom w:val="single" w:sz="8" w:color="auto"/>
            </w:tcBorders>
            <w:shd w:val="clear" w:color="auto" w:fill="CCCCCC"/>
          </w:tcPr>
          <w:p>
            <w:pPr>
              <w:spacing w:after="0"/>
              <w:rPr>
                <w:sz w:val="18"/>
                <w:szCs w:val="18"/>
                <w:color w:val="auto"/>
              </w:rPr>
            </w:pPr>
          </w:p>
        </w:tc>
        <w:tc>
          <w:tcPr>
            <w:tcW w:w="1880" w:type="dxa"/>
            <w:vAlign w:val="bottom"/>
            <w:tcBorders>
              <w:bottom w:val="single" w:sz="8" w:color="auto"/>
            </w:tcBorders>
            <w:shd w:val="clear" w:color="auto" w:fill="CCCCCC"/>
          </w:tcPr>
          <w:p>
            <w:pPr>
              <w:spacing w:after="0"/>
              <w:rPr>
                <w:sz w:val="18"/>
                <w:szCs w:val="18"/>
                <w:color w:val="auto"/>
              </w:rPr>
            </w:pPr>
          </w:p>
        </w:tc>
        <w:tc>
          <w:tcPr>
            <w:tcW w:w="1720" w:type="dxa"/>
            <w:vAlign w:val="bottom"/>
            <w:tcBorders>
              <w:bottom w:val="single" w:sz="8" w:color="auto"/>
            </w:tcBorders>
            <w:shd w:val="clear" w:color="auto" w:fill="CCCCCC"/>
          </w:tcPr>
          <w:p>
            <w:pPr>
              <w:spacing w:after="0"/>
              <w:rPr>
                <w:sz w:val="18"/>
                <w:szCs w:val="18"/>
                <w:color w:val="auto"/>
              </w:rPr>
            </w:pPr>
          </w:p>
        </w:tc>
        <w:tc>
          <w:tcPr>
            <w:tcW w:w="1760" w:type="dxa"/>
            <w:vAlign w:val="bottom"/>
            <w:tcBorders>
              <w:bottom w:val="single" w:sz="8" w:color="auto"/>
            </w:tcBorders>
            <w:shd w:val="clear" w:color="auto" w:fill="CCCCCC"/>
          </w:tcPr>
          <w:p>
            <w:pPr>
              <w:spacing w:after="0"/>
              <w:rPr>
                <w:sz w:val="18"/>
                <w:szCs w:val="18"/>
                <w:color w:val="auto"/>
              </w:rPr>
            </w:pPr>
          </w:p>
        </w:tc>
      </w:tr>
      <w:tr>
        <w:trPr>
          <w:trHeight w:val="244"/>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Committee Meetings Held in 2018</w:t>
            </w:r>
          </w:p>
        </w:tc>
        <w:tc>
          <w:tcPr>
            <w:tcW w:w="196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9"/>
              </w:rPr>
              <w:t>8</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4</w:t>
            </w:r>
          </w:p>
        </w:tc>
        <w:tc>
          <w:tcPr>
            <w:tcW w:w="1760" w:type="dxa"/>
            <w:vAlign w:val="bottom"/>
            <w:tcBorders>
              <w:bottom w:val="single" w:sz="8" w:color="auto"/>
            </w:tcBorders>
          </w:tcPr>
          <w:p>
            <w:pPr>
              <w:jc w:val="center"/>
              <w:ind w:right="74"/>
              <w:spacing w:after="0" w:line="236" w:lineRule="exact"/>
              <w:rPr>
                <w:sz w:val="20"/>
                <w:szCs w:val="20"/>
                <w:color w:val="auto"/>
              </w:rPr>
            </w:pPr>
            <w:r>
              <w:rPr>
                <w:rFonts w:ascii="Arial" w:cs="Arial" w:eastAsia="Arial" w:hAnsi="Arial"/>
                <w:sz w:val="27"/>
                <w:szCs w:val="27"/>
                <w:color w:val="auto"/>
                <w:vertAlign w:val="subscript"/>
              </w:rPr>
              <w:t>1</w:t>
            </w:r>
            <w:r>
              <w:rPr>
                <w:rFonts w:ascii="Arial" w:cs="Arial" w:eastAsia="Arial" w:hAnsi="Arial"/>
                <w:sz w:val="13"/>
                <w:szCs w:val="13"/>
                <w:color w:val="auto"/>
              </w:rPr>
              <w:t>*</w:t>
            </w:r>
          </w:p>
        </w:tc>
      </w:tr>
    </w:tbl>
    <w:p>
      <w:pPr>
        <w:spacing w:after="0" w:line="221"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Executive Committee also acted by unanimous consent in 2018.</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The charters of each of the Audit, Compensation and Corporate Governance Committees, respectively, can be found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assists in the Board’s oversight of:</w:t>
      </w:r>
    </w:p>
    <w:p>
      <w:pPr>
        <w:spacing w:after="0" w:line="212"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integrity of the Company’s consolidated financial statements;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independent auditors’ qualifications and independence;</w:t>
      </w:r>
    </w:p>
    <w:p>
      <w:pPr>
        <w:spacing w:after="0" w:line="252"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of the Company’s independent auditors and the Company’s internal audit function;</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systems of disclosure controls and procedures, and internal controls over financial reporting;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major financial risk exposures and the steps management has undertaken to control such risks.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each member of the Audit Committee qualifies as an “audit committee financial expert” as defined by the rules of the SEC, thereby satisfying NASDAQ’s “financial sophistication” requirement.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Committee include to:</w:t>
      </w:r>
    </w:p>
    <w:p>
      <w:pPr>
        <w:spacing w:after="0" w:line="212" w:lineRule="exact"/>
        <w:rPr>
          <w:sz w:val="20"/>
          <w:szCs w:val="20"/>
          <w:color w:val="auto"/>
        </w:rPr>
      </w:pPr>
    </w:p>
    <w:p>
      <w:pPr>
        <w:ind w:left="360" w:hanging="352"/>
        <w:spacing w:after="0" w:line="246"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compensation of the Chief Executive Officer and determine and approve the Chief Executive Officer’s compensation;</w:t>
      </w:r>
    </w:p>
    <w:p>
      <w:pPr>
        <w:spacing w:after="0" w:line="210"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individual elements of total compensation for our other executive officers;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our annual and long-term incentive compensation programs and plans;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and approve all stock option and other equity awards;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assess the results of the Company’s most recent advisory vote on executive compensation;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 whether compensation arrangements for executive officers incentivize unnecessary risk-taking.</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listing standards and the Company’s Director Independence Criteria and a non-employee director for purposes of Section 16 of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Committee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 Procedures</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ectPr>
          <w:pgSz w:w="11900" w:h="16838" w:orient="portrait"/>
          <w:cols w:equalWidth="0" w:num="1">
            <w:col w:w="11420"/>
          </w:cols>
          <w:pgMar w:left="240" w:top="445" w:right="2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2020 Annual Meeting” below.</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These candidates are evaluated by the Corporate Governance Committee by reviewing such candidates’ biographical information and qualifications and checking the candidates’ references. Certain qualified candidates are interviewed by at least one member of the Corporate Governance Committee. Using the input from this interview and other information,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candidates to be nominees for director positions recommended by shareholders.</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2018, consistent with the Board’s commitment to maintaining a highly qualified, independent Board, a leading search firm was retained to assist in the ongoing process of identifying new director candidates with specific skills sets to replace directors who may retire in the near future. As a result of this process, the Corporate Governance Committee recommended that four new directors be added to the Board in 2018: Messrs. Glenn Lurie, Jagdeep Pahwa, Francis J. Shammo and Carl Sparks.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Diversity</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the Board has not adopted a formal policy with respect to diversity,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and as specified in its charter, considers diversity in the mix of qualifications, experience, attributes or skills included in its process of identifying and evaluating candidates to be nominees to the Board. The Company believes that its nominees further its commitment to enhancing gender diversity at the Board level.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Committee</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 (b) declare any dividend or make any other distribution to the shareholders of the Company, (c) appoint any member of the Executive Committee, or (d) take any other action which legally may be taken only by the full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our Chief Executive Officer and for overseeing the development, implementation and periodic review of a succession plan for each senior executive, all of whom have been designated as members of our Senior Leadership Team (“SLT”).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views succession planning as a continual process. In order to ensure that qualified candidates are available for the position of Chief Executive Officer and also for each senior executive position held by a SLT member, the Board of Directors oversees the development of internal candidates, maintains talent development plans to strengthen the skills and qualifications of such candidates and would be responsible, if necessary, for the identification of suitable external successor candidates. With respect to CEO succession, the Board of Directors expects to establish a list of crucial attributes and implement a formal assessment process employing an external advisor to assess and develop successor candidates.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of Directors has also developed an “emergency” succession plan in the event of an unexpected disability or inability of our Chief Executive Officer or other senior executive to perform his or her duties.</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related person transactions that require reporting under SEC rules. The Company has adopted written procedures for the review, approval or ratification of transactions with related persons that apply to any transaction, arrangement or relationship in which:</w:t>
      </w:r>
    </w:p>
    <w:p>
      <w:pPr>
        <w:spacing w:after="0" w:line="210"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(including any of its subsidiaries) was, is or will be a participant; and</w:t>
      </w:r>
    </w:p>
    <w:p>
      <w:pPr>
        <w:spacing w:after="0" w:line="238" w:lineRule="exact"/>
        <w:rPr>
          <w:rFonts w:ascii="Arial" w:cs="Arial" w:eastAsia="Arial" w:hAnsi="Arial"/>
          <w:sz w:val="18"/>
          <w:szCs w:val="18"/>
          <w:color w:val="auto"/>
        </w:rPr>
      </w:pPr>
    </w:p>
    <w:p>
      <w:pPr>
        <w:jc w:val="both"/>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related person (i.e.,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and Chief Compliance Officer and the Corporate Secretary of the Company, or in certain circumstances, as soon as possible thereafter. If it is determined by such officers that the transaction is a related person transaction and the amount involved exceeds $120,000:</w:t>
      </w:r>
    </w:p>
    <w:p>
      <w:pPr>
        <w:spacing w:after="0" w:line="189" w:lineRule="exact"/>
        <w:rPr>
          <w:sz w:val="20"/>
          <w:szCs w:val="20"/>
          <w:color w:val="auto"/>
        </w:rPr>
      </w:pPr>
    </w:p>
    <w:p>
      <w:pPr>
        <w:ind w:left="360" w:hanging="352"/>
        <w:spacing w:after="0" w:line="246"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will be submitted for review to the Audit Committee, or, under certain circumstances, to the Chairman of the Audit Committee.</w:t>
      </w:r>
    </w:p>
    <w:p>
      <w:pPr>
        <w:spacing w:after="0" w:line="237"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Audit Committee or its Chairman will then consider all relevant facts and circumstances available.</w:t>
      </w:r>
    </w:p>
    <w:p>
      <w:pPr>
        <w:spacing w:after="0" w:line="238" w:lineRule="exact"/>
        <w:rPr>
          <w:rFonts w:ascii="Arial" w:cs="Arial" w:eastAsia="Arial" w:hAnsi="Arial"/>
          <w:sz w:val="18"/>
          <w:szCs w:val="18"/>
          <w:color w:val="auto"/>
        </w:rPr>
      </w:pPr>
    </w:p>
    <w:p>
      <w:pPr>
        <w:ind w:left="360" w:right="20" w:hanging="352"/>
        <w:spacing w:after="0" w:line="246"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Audit Committee or its Chairman will approve only those transactions, determined in good faith to be in, or not inconsistent with, the best interests of the Company and its shareholders.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conduct engagement and outreach efforts in order to communicate with existing and prospective shareholders, lenders, research analysts, rating agencies, governance firms and others. In 2018, our key engagement activities included numerous group and one-on-one investor meetings, conference calls accessible to all shareholders following each of our quarterly earnings releases, presentations at various investor conferences, and our 2018 Annual Meeting of Shareholders. Members of management, in addition to our Chief Executive Officer and Interim Chief Financial Officer, participated in these activities, each of which contained opportunities for shareholders and other constituents to provide feedback to management.</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certain of our independent Board members attend investor meetings, in addition to attending the Annual Meeting of Shareholders.</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Our investor relations department is the key point of contact for shareholder interaction with the Company. Shareholders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Security Ownership of Certain Beneficial Owners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sets forth information regarding beneficial ownership of shares of Common Stock as of February 28, 2019, by (i) each person who is known by us to beneficially own more than 5% of the outstanding shares of Common Stock, (ii) each of the Company’s directors and each of its named executive officers (“NEOs”), and (iii) all of the Company’s directors, nominees and current executive officers, as a group.</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40" w:type="dxa"/>
            <w:vAlign w:val="bottom"/>
          </w:tcPr>
          <w:p>
            <w:pPr>
              <w:jc w:val="center"/>
              <w:ind w:left="69"/>
              <w:spacing w:after="0"/>
              <w:rPr>
                <w:sz w:val="20"/>
                <w:szCs w:val="20"/>
                <w:color w:val="auto"/>
              </w:rPr>
            </w:pPr>
            <w:r>
              <w:rPr>
                <w:rFonts w:ascii="Arial" w:cs="Arial" w:eastAsia="Arial" w:hAnsi="Arial"/>
                <w:sz w:val="14"/>
                <w:szCs w:val="14"/>
                <w:b w:val="1"/>
                <w:bCs w:val="1"/>
                <w:color w:val="auto"/>
              </w:rPr>
              <w:t>Of the Total Number of Shares</w:t>
            </w:r>
          </w:p>
        </w:tc>
      </w:tr>
      <w:tr>
        <w:trPr>
          <w:trHeight w:val="162"/>
        </w:trPr>
        <w:tc>
          <w:tcPr>
            <w:tcW w:w="4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2640" w:type="dxa"/>
            <w:vAlign w:val="bottom"/>
          </w:tcPr>
          <w:p>
            <w:pPr>
              <w:jc w:val="center"/>
              <w:ind w:left="89"/>
              <w:spacing w:after="0"/>
              <w:rPr>
                <w:sz w:val="20"/>
                <w:szCs w:val="20"/>
                <w:color w:val="auto"/>
              </w:rPr>
            </w:pPr>
            <w:r>
              <w:rPr>
                <w:rFonts w:ascii="Arial" w:cs="Arial" w:eastAsia="Arial" w:hAnsi="Arial"/>
                <w:sz w:val="14"/>
                <w:szCs w:val="14"/>
                <w:b w:val="1"/>
                <w:bCs w:val="1"/>
                <w:color w:val="auto"/>
              </w:rPr>
              <w:t>Beneficially Owned, Shares</w:t>
            </w:r>
          </w:p>
        </w:tc>
      </w:tr>
      <w:tr>
        <w:trPr>
          <w:trHeight w:val="161"/>
        </w:trPr>
        <w:tc>
          <w:tcPr>
            <w:tcW w:w="4640" w:type="dxa"/>
            <w:vAlign w:val="bottom"/>
          </w:tcPr>
          <w:p>
            <w:pPr>
              <w:spacing w:after="0"/>
              <w:rPr>
                <w:sz w:val="13"/>
                <w:szCs w:val="13"/>
                <w:color w:val="auto"/>
              </w:rPr>
            </w:pPr>
          </w:p>
        </w:tc>
        <w:tc>
          <w:tcPr>
            <w:tcW w:w="24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Amount of Shares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c>
          <w:tcPr>
            <w:tcW w:w="2640" w:type="dxa"/>
            <w:vAlign w:val="bottom"/>
          </w:tcPr>
          <w:p>
            <w:pPr>
              <w:jc w:val="center"/>
              <w:ind w:left="69"/>
              <w:spacing w:after="0"/>
              <w:rPr>
                <w:sz w:val="20"/>
                <w:szCs w:val="20"/>
                <w:color w:val="auto"/>
              </w:rPr>
            </w:pPr>
            <w:r>
              <w:rPr>
                <w:rFonts w:ascii="Arial" w:cs="Arial" w:eastAsia="Arial" w:hAnsi="Arial"/>
                <w:sz w:val="14"/>
                <w:szCs w:val="14"/>
                <w:b w:val="1"/>
                <w:bCs w:val="1"/>
                <w:color w:val="auto"/>
              </w:rPr>
              <w:t>which May be Acquired within</w:t>
            </w:r>
          </w:p>
        </w:tc>
      </w:tr>
      <w:tr>
        <w:trPr>
          <w:trHeight w:val="211"/>
        </w:trPr>
        <w:tc>
          <w:tcPr>
            <w:tcW w:w="4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of Beneficial Owner</w:t>
            </w:r>
          </w:p>
        </w:tc>
        <w:tc>
          <w:tcPr>
            <w:tcW w:w="2400" w:type="dxa"/>
            <w:vAlign w:val="bottom"/>
            <w:tcBorders>
              <w:bottom w:val="single" w:sz="8" w:color="auto"/>
            </w:tcBorders>
          </w:tcPr>
          <w:p>
            <w:pPr>
              <w:jc w:val="right"/>
              <w:ind w:right="329"/>
              <w:spacing w:after="0" w:line="203" w:lineRule="exact"/>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23"/>
                <w:szCs w:val="23"/>
                <w:b w:val="1"/>
                <w:bCs w:val="1"/>
                <w:color w:val="auto"/>
                <w:vertAlign w:val="superscript"/>
              </w:rPr>
              <w:t>(1)</w:t>
            </w:r>
          </w:p>
        </w:tc>
        <w:tc>
          <w:tcPr>
            <w:tcW w:w="17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23"/>
                <w:szCs w:val="23"/>
                <w:b w:val="1"/>
                <w:bCs w:val="1"/>
                <w:color w:val="auto"/>
                <w:w w:val="94"/>
                <w:vertAlign w:val="superscript"/>
              </w:rPr>
              <w:t>(2)</w:t>
            </w:r>
          </w:p>
        </w:tc>
        <w:tc>
          <w:tcPr>
            <w:tcW w:w="2640" w:type="dxa"/>
            <w:vAlign w:val="bottom"/>
            <w:tcBorders>
              <w:bottom w:val="single" w:sz="8" w:color="auto"/>
            </w:tcBorders>
          </w:tcPr>
          <w:p>
            <w:pPr>
              <w:jc w:val="center"/>
              <w:ind w:left="69"/>
              <w:spacing w:after="0" w:line="203" w:lineRule="exact"/>
              <w:rPr>
                <w:sz w:val="20"/>
                <w:szCs w:val="20"/>
                <w:color w:val="auto"/>
              </w:rPr>
            </w:pPr>
            <w:r>
              <w:rPr>
                <w:rFonts w:ascii="Arial" w:cs="Arial" w:eastAsia="Arial" w:hAnsi="Arial"/>
                <w:sz w:val="14"/>
                <w:szCs w:val="14"/>
                <w:b w:val="1"/>
                <w:bCs w:val="1"/>
                <w:color w:val="auto"/>
                <w:w w:val="97"/>
              </w:rPr>
              <w:t>60 Days</w:t>
            </w:r>
            <w:r>
              <w:rPr>
                <w:rFonts w:ascii="Arial" w:cs="Arial" w:eastAsia="Arial" w:hAnsi="Arial"/>
                <w:sz w:val="23"/>
                <w:szCs w:val="23"/>
                <w:b w:val="1"/>
                <w:bCs w:val="1"/>
                <w:color w:val="auto"/>
                <w:w w:val="97"/>
                <w:vertAlign w:val="superscript"/>
              </w:rPr>
              <w:t>(3)</w:t>
            </w:r>
          </w:p>
        </w:tc>
      </w:tr>
      <w:tr>
        <w:trPr>
          <w:trHeight w:val="162"/>
        </w:trPr>
        <w:tc>
          <w:tcPr>
            <w:tcW w:w="464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b w:val="1"/>
                <w:bCs w:val="1"/>
                <w:color w:val="auto"/>
              </w:rPr>
              <w:t>Principal Shareholders:**</w:t>
            </w:r>
          </w:p>
        </w:tc>
        <w:tc>
          <w:tcPr>
            <w:tcW w:w="2400" w:type="dxa"/>
            <w:vAlign w:val="bottom"/>
            <w:tcBorders>
              <w:bottom w:val="single" w:sz="8" w:color="auto"/>
            </w:tcBorders>
            <w:shd w:val="clear" w:color="auto" w:fill="CCCCCC"/>
          </w:tcPr>
          <w:p>
            <w:pPr>
              <w:spacing w:after="0"/>
              <w:rPr>
                <w:sz w:val="14"/>
                <w:szCs w:val="14"/>
                <w:color w:val="auto"/>
              </w:rPr>
            </w:pPr>
          </w:p>
        </w:tc>
        <w:tc>
          <w:tcPr>
            <w:tcW w:w="1740" w:type="dxa"/>
            <w:vAlign w:val="bottom"/>
            <w:tcBorders>
              <w:bottom w:val="single" w:sz="8" w:color="auto"/>
            </w:tcBorders>
            <w:shd w:val="clear" w:color="auto" w:fill="CCCCCC"/>
          </w:tcPr>
          <w:p>
            <w:pPr>
              <w:spacing w:after="0"/>
              <w:rPr>
                <w:sz w:val="14"/>
                <w:szCs w:val="14"/>
                <w:color w:val="auto"/>
              </w:rPr>
            </w:pPr>
          </w:p>
        </w:tc>
        <w:tc>
          <w:tcPr>
            <w:tcW w:w="2640" w:type="dxa"/>
            <w:vAlign w:val="bottom"/>
            <w:tcBorders>
              <w:bottom w:val="single" w:sz="8" w:color="auto"/>
            </w:tcBorders>
            <w:shd w:val="clear" w:color="auto" w:fill="CCCCCC"/>
          </w:tcPr>
          <w:p>
            <w:pPr>
              <w:spacing w:after="0"/>
              <w:rPr>
                <w:sz w:val="14"/>
                <w:szCs w:val="14"/>
                <w:color w:val="auto"/>
              </w:rPr>
            </w:pPr>
          </w:p>
        </w:tc>
      </w:tr>
      <w:tr>
        <w:trPr>
          <w:trHeight w:val="182"/>
        </w:trPr>
        <w:tc>
          <w:tcPr>
            <w:tcW w:w="4640" w:type="dxa"/>
            <w:vAlign w:val="bottom"/>
          </w:tcPr>
          <w:p>
            <w:pPr>
              <w:ind w:left="60"/>
              <w:spacing w:after="0" w:line="182" w:lineRule="exact"/>
              <w:rPr>
                <w:sz w:val="20"/>
                <w:szCs w:val="20"/>
                <w:color w:val="auto"/>
              </w:rPr>
            </w:pPr>
            <w:r>
              <w:rPr>
                <w:rFonts w:ascii="Arial" w:cs="Arial" w:eastAsia="Arial" w:hAnsi="Arial"/>
                <w:sz w:val="13"/>
                <w:szCs w:val="13"/>
                <w:color w:val="auto"/>
              </w:rPr>
              <w:t>SRS Investment Management, LLC</w:t>
            </w:r>
            <w:r>
              <w:rPr>
                <w:rFonts w:ascii="Arial" w:cs="Arial" w:eastAsia="Arial" w:hAnsi="Arial"/>
                <w:sz w:val="21"/>
                <w:szCs w:val="21"/>
                <w:color w:val="auto"/>
                <w:vertAlign w:val="superscript"/>
              </w:rPr>
              <w:t>(4)</w:t>
            </w:r>
          </w:p>
        </w:tc>
        <w:tc>
          <w:tcPr>
            <w:tcW w:w="2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194"/>
        </w:trPr>
        <w:tc>
          <w:tcPr>
            <w:tcW w:w="4640" w:type="dxa"/>
            <w:vAlign w:val="bottom"/>
          </w:tcPr>
          <w:p>
            <w:pPr>
              <w:ind w:left="60"/>
              <w:spacing w:after="0" w:line="194" w:lineRule="exact"/>
              <w:rPr>
                <w:sz w:val="20"/>
                <w:szCs w:val="20"/>
                <w:color w:val="auto"/>
              </w:rPr>
            </w:pPr>
            <w:r>
              <w:rPr>
                <w:rFonts w:ascii="Arial" w:cs="Arial" w:eastAsia="Arial" w:hAnsi="Arial"/>
                <w:sz w:val="14"/>
                <w:szCs w:val="14"/>
                <w:color w:val="auto"/>
              </w:rPr>
              <w:t>1 Bryant Park, 39</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57"/>
        </w:trPr>
        <w:tc>
          <w:tcPr>
            <w:tcW w:w="46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New York, NY 10036</w:t>
            </w:r>
          </w:p>
        </w:tc>
        <w:tc>
          <w:tcPr>
            <w:tcW w:w="2400" w:type="dxa"/>
            <w:vAlign w:val="bottom"/>
            <w:tcBorders>
              <w:bottom w:val="single" w:sz="8" w:color="auto"/>
            </w:tcBorders>
          </w:tcPr>
          <w:p>
            <w:pPr>
              <w:jc w:val="right"/>
              <w:ind w:right="749"/>
              <w:spacing w:after="0" w:line="157" w:lineRule="exact"/>
              <w:rPr>
                <w:sz w:val="20"/>
                <w:szCs w:val="20"/>
                <w:color w:val="auto"/>
              </w:rPr>
            </w:pPr>
            <w:r>
              <w:rPr>
                <w:rFonts w:ascii="Arial" w:cs="Arial" w:eastAsia="Arial" w:hAnsi="Arial"/>
                <w:sz w:val="14"/>
                <w:szCs w:val="14"/>
                <w:color w:val="auto"/>
              </w:rPr>
              <w:t>16,189,300</w:t>
            </w:r>
          </w:p>
        </w:tc>
        <w:tc>
          <w:tcPr>
            <w:tcW w:w="1740" w:type="dxa"/>
            <w:vAlign w:val="bottom"/>
            <w:tcBorders>
              <w:bottom w:val="single" w:sz="8" w:color="auto"/>
            </w:tcBorders>
          </w:tcPr>
          <w:p>
            <w:pPr>
              <w:jc w:val="right"/>
              <w:ind w:right="568"/>
              <w:spacing w:after="0" w:line="157" w:lineRule="exact"/>
              <w:rPr>
                <w:sz w:val="20"/>
                <w:szCs w:val="20"/>
                <w:color w:val="auto"/>
              </w:rPr>
            </w:pPr>
            <w:r>
              <w:rPr>
                <w:rFonts w:ascii="Arial" w:cs="Arial" w:eastAsia="Arial" w:hAnsi="Arial"/>
                <w:sz w:val="14"/>
                <w:szCs w:val="14"/>
                <w:color w:val="auto"/>
              </w:rPr>
              <w:t>21.4%</w:t>
            </w:r>
          </w:p>
        </w:tc>
        <w:tc>
          <w:tcPr>
            <w:tcW w:w="2640" w:type="dxa"/>
            <w:vAlign w:val="bottom"/>
            <w:tcBorders>
              <w:bottom w:val="single" w:sz="8" w:color="auto"/>
            </w:tcBorders>
          </w:tcPr>
          <w:p>
            <w:pPr>
              <w:jc w:val="right"/>
              <w:ind w:right="949"/>
              <w:spacing w:after="0" w:line="157" w:lineRule="exact"/>
              <w:rPr>
                <w:sz w:val="20"/>
                <w:szCs w:val="20"/>
                <w:color w:val="auto"/>
              </w:rPr>
            </w:pPr>
            <w:r>
              <w:rPr>
                <w:rFonts w:ascii="Arial" w:cs="Arial" w:eastAsia="Arial" w:hAnsi="Arial"/>
                <w:sz w:val="14"/>
                <w:szCs w:val="14"/>
                <w:color w:val="auto"/>
              </w:rPr>
              <w:t>—</w:t>
            </w:r>
          </w:p>
        </w:tc>
      </w:tr>
      <w:tr>
        <w:trPr>
          <w:trHeight w:val="182"/>
        </w:trPr>
        <w:tc>
          <w:tcPr>
            <w:tcW w:w="4640" w:type="dxa"/>
            <w:vAlign w:val="bottom"/>
            <w:shd w:val="clear" w:color="auto" w:fill="CCCCCC"/>
          </w:tcPr>
          <w:p>
            <w:pPr>
              <w:ind w:left="60"/>
              <w:spacing w:after="0" w:line="182"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(5)</w:t>
            </w:r>
          </w:p>
        </w:tc>
        <w:tc>
          <w:tcPr>
            <w:tcW w:w="2400" w:type="dxa"/>
            <w:vAlign w:val="bottom"/>
            <w:shd w:val="clear" w:color="auto" w:fill="CCCCCC"/>
          </w:tcPr>
          <w:p>
            <w:pPr>
              <w:spacing w:after="0"/>
              <w:rPr>
                <w:sz w:val="15"/>
                <w:szCs w:val="15"/>
                <w:color w:val="auto"/>
              </w:rPr>
            </w:pPr>
          </w:p>
        </w:tc>
        <w:tc>
          <w:tcPr>
            <w:tcW w:w="1740" w:type="dxa"/>
            <w:vAlign w:val="bottom"/>
            <w:shd w:val="clear" w:color="auto" w:fill="CCCCCC"/>
          </w:tcPr>
          <w:p>
            <w:pPr>
              <w:spacing w:after="0"/>
              <w:rPr>
                <w:sz w:val="15"/>
                <w:szCs w:val="15"/>
                <w:color w:val="auto"/>
              </w:rPr>
            </w:pPr>
          </w:p>
        </w:tc>
        <w:tc>
          <w:tcPr>
            <w:tcW w:w="2640" w:type="dxa"/>
            <w:vAlign w:val="bottom"/>
            <w:shd w:val="clear" w:color="auto" w:fill="CCCCCC"/>
          </w:tcPr>
          <w:p>
            <w:pPr>
              <w:spacing w:after="0"/>
              <w:rPr>
                <w:sz w:val="15"/>
                <w:szCs w:val="15"/>
                <w:color w:val="auto"/>
              </w:rPr>
            </w:pPr>
          </w:p>
        </w:tc>
      </w:tr>
      <w:tr>
        <w:trPr>
          <w:trHeight w:val="194"/>
        </w:trPr>
        <w:tc>
          <w:tcPr>
            <w:tcW w:w="4640" w:type="dxa"/>
            <w:vAlign w:val="bottom"/>
            <w:shd w:val="clear" w:color="auto" w:fill="CCCCCC"/>
          </w:tcPr>
          <w:p>
            <w:pPr>
              <w:ind w:left="60"/>
              <w:spacing w:after="0" w:line="194" w:lineRule="exact"/>
              <w:rPr>
                <w:sz w:val="20"/>
                <w:szCs w:val="20"/>
                <w:color w:val="auto"/>
              </w:rPr>
            </w:pPr>
            <w:r>
              <w:rPr>
                <w:rFonts w:ascii="Arial" w:cs="Arial" w:eastAsia="Arial" w:hAnsi="Arial"/>
                <w:sz w:val="14"/>
                <w:szCs w:val="14"/>
                <w:color w:val="auto"/>
              </w:rPr>
              <w:t>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2400" w:type="dxa"/>
            <w:vAlign w:val="bottom"/>
            <w:shd w:val="clear" w:color="auto" w:fill="CCCCCC"/>
          </w:tcPr>
          <w:p>
            <w:pPr>
              <w:spacing w:after="0"/>
              <w:rPr>
                <w:sz w:val="16"/>
                <w:szCs w:val="16"/>
                <w:color w:val="auto"/>
              </w:rPr>
            </w:pPr>
          </w:p>
        </w:tc>
        <w:tc>
          <w:tcPr>
            <w:tcW w:w="1740" w:type="dxa"/>
            <w:vAlign w:val="bottom"/>
            <w:shd w:val="clear" w:color="auto" w:fill="CCCCCC"/>
          </w:tcPr>
          <w:p>
            <w:pPr>
              <w:spacing w:after="0"/>
              <w:rPr>
                <w:sz w:val="16"/>
                <w:szCs w:val="16"/>
                <w:color w:val="auto"/>
              </w:rPr>
            </w:pPr>
          </w:p>
        </w:tc>
        <w:tc>
          <w:tcPr>
            <w:tcW w:w="2640" w:type="dxa"/>
            <w:vAlign w:val="bottom"/>
            <w:shd w:val="clear" w:color="auto" w:fill="CCCCCC"/>
          </w:tcPr>
          <w:p>
            <w:pPr>
              <w:spacing w:after="0"/>
              <w:rPr>
                <w:sz w:val="16"/>
                <w:szCs w:val="16"/>
                <w:color w:val="auto"/>
              </w:rPr>
            </w:pPr>
          </w:p>
        </w:tc>
      </w:tr>
      <w:tr>
        <w:trPr>
          <w:trHeight w:val="157"/>
        </w:trPr>
        <w:tc>
          <w:tcPr>
            <w:tcW w:w="4640" w:type="dxa"/>
            <w:vAlign w:val="bottom"/>
            <w:tcBorders>
              <w:bottom w:val="single" w:sz="8" w:color="auto"/>
            </w:tcBorders>
            <w:shd w:val="clear" w:color="auto" w:fill="CCCCCC"/>
          </w:tcPr>
          <w:p>
            <w:pPr>
              <w:ind w:left="60"/>
              <w:spacing w:after="0" w:line="157" w:lineRule="exact"/>
              <w:rPr>
                <w:sz w:val="20"/>
                <w:szCs w:val="20"/>
                <w:color w:val="auto"/>
              </w:rPr>
            </w:pPr>
            <w:r>
              <w:rPr>
                <w:rFonts w:ascii="Arial" w:cs="Arial" w:eastAsia="Arial" w:hAnsi="Arial"/>
                <w:sz w:val="14"/>
                <w:szCs w:val="14"/>
                <w:color w:val="auto"/>
              </w:rPr>
              <w:t>New York, NY 10055</w:t>
            </w:r>
          </w:p>
        </w:tc>
        <w:tc>
          <w:tcPr>
            <w:tcW w:w="2400" w:type="dxa"/>
            <w:vAlign w:val="bottom"/>
            <w:tcBorders>
              <w:bottom w:val="single" w:sz="8" w:color="auto"/>
            </w:tcBorders>
            <w:shd w:val="clear" w:color="auto" w:fill="CCCCCC"/>
          </w:tcPr>
          <w:p>
            <w:pPr>
              <w:jc w:val="right"/>
              <w:ind w:right="749"/>
              <w:spacing w:after="0" w:line="157" w:lineRule="exact"/>
              <w:rPr>
                <w:sz w:val="20"/>
                <w:szCs w:val="20"/>
                <w:color w:val="auto"/>
              </w:rPr>
            </w:pPr>
            <w:r>
              <w:rPr>
                <w:rFonts w:ascii="Arial" w:cs="Arial" w:eastAsia="Arial" w:hAnsi="Arial"/>
                <w:sz w:val="14"/>
                <w:szCs w:val="14"/>
                <w:color w:val="auto"/>
              </w:rPr>
              <w:t>7,887,813</w:t>
            </w:r>
          </w:p>
        </w:tc>
        <w:tc>
          <w:tcPr>
            <w:tcW w:w="1740" w:type="dxa"/>
            <w:vAlign w:val="bottom"/>
            <w:tcBorders>
              <w:bottom w:val="single" w:sz="8" w:color="auto"/>
            </w:tcBorders>
            <w:shd w:val="clear" w:color="auto" w:fill="CCCCCC"/>
          </w:tcPr>
          <w:p>
            <w:pPr>
              <w:jc w:val="right"/>
              <w:ind w:right="568"/>
              <w:spacing w:after="0" w:line="157" w:lineRule="exact"/>
              <w:rPr>
                <w:sz w:val="20"/>
                <w:szCs w:val="20"/>
                <w:color w:val="auto"/>
              </w:rPr>
            </w:pPr>
            <w:r>
              <w:rPr>
                <w:rFonts w:ascii="Arial" w:cs="Arial" w:eastAsia="Arial" w:hAnsi="Arial"/>
                <w:sz w:val="14"/>
                <w:szCs w:val="14"/>
                <w:color w:val="auto"/>
              </w:rPr>
              <w:t>10.4%</w:t>
            </w:r>
          </w:p>
        </w:tc>
        <w:tc>
          <w:tcPr>
            <w:tcW w:w="2640" w:type="dxa"/>
            <w:vAlign w:val="bottom"/>
            <w:tcBorders>
              <w:bottom w:val="single" w:sz="8" w:color="auto"/>
            </w:tcBorders>
            <w:shd w:val="clear" w:color="auto" w:fill="CCCCCC"/>
          </w:tcPr>
          <w:p>
            <w:pPr>
              <w:jc w:val="right"/>
              <w:ind w:right="949"/>
              <w:spacing w:after="0" w:line="157" w:lineRule="exact"/>
              <w:rPr>
                <w:sz w:val="20"/>
                <w:szCs w:val="20"/>
                <w:color w:val="auto"/>
              </w:rPr>
            </w:pPr>
            <w:r>
              <w:rPr>
                <w:rFonts w:ascii="Arial" w:cs="Arial" w:eastAsia="Arial" w:hAnsi="Arial"/>
                <w:sz w:val="14"/>
                <w:szCs w:val="14"/>
                <w:color w:val="auto"/>
              </w:rPr>
              <w:t>—</w:t>
            </w:r>
          </w:p>
        </w:tc>
      </w:tr>
      <w:tr>
        <w:trPr>
          <w:trHeight w:val="187"/>
        </w:trPr>
        <w:tc>
          <w:tcPr>
            <w:tcW w:w="4640" w:type="dxa"/>
            <w:vAlign w:val="bottom"/>
          </w:tcPr>
          <w:p>
            <w:pPr>
              <w:ind w:left="60"/>
              <w:spacing w:after="0" w:line="188" w:lineRule="exact"/>
              <w:rPr>
                <w:sz w:val="20"/>
                <w:szCs w:val="20"/>
                <w:color w:val="auto"/>
              </w:rPr>
            </w:pPr>
            <w:r>
              <w:rPr>
                <w:rFonts w:ascii="Arial" w:cs="Arial" w:eastAsia="Arial" w:hAnsi="Arial"/>
                <w:sz w:val="13"/>
                <w:szCs w:val="13"/>
                <w:color w:val="auto"/>
              </w:rPr>
              <w:t>Vanguard Group, Inc.</w:t>
            </w:r>
            <w:r>
              <w:rPr>
                <w:rFonts w:ascii="Arial" w:cs="Arial" w:eastAsia="Arial" w:hAnsi="Arial"/>
                <w:sz w:val="21"/>
                <w:szCs w:val="21"/>
                <w:color w:val="auto"/>
                <w:vertAlign w:val="superscript"/>
              </w:rPr>
              <w:t>(6)</w:t>
            </w:r>
          </w:p>
        </w:tc>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62"/>
        </w:trPr>
        <w:tc>
          <w:tcPr>
            <w:tcW w:w="4640" w:type="dxa"/>
            <w:vAlign w:val="bottom"/>
          </w:tcPr>
          <w:p>
            <w:pPr>
              <w:ind w:left="60"/>
              <w:spacing w:after="0"/>
              <w:rPr>
                <w:sz w:val="20"/>
                <w:szCs w:val="20"/>
                <w:color w:val="auto"/>
              </w:rPr>
            </w:pPr>
            <w:r>
              <w:rPr>
                <w:rFonts w:ascii="Arial" w:cs="Arial" w:eastAsia="Arial" w:hAnsi="Arial"/>
                <w:sz w:val="14"/>
                <w:szCs w:val="14"/>
                <w:color w:val="auto"/>
              </w:rPr>
              <w:t>100 Vanguard Blvd.</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57"/>
        </w:trPr>
        <w:tc>
          <w:tcPr>
            <w:tcW w:w="46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Malvern, PA 19355</w:t>
            </w:r>
          </w:p>
        </w:tc>
        <w:tc>
          <w:tcPr>
            <w:tcW w:w="2400" w:type="dxa"/>
            <w:vAlign w:val="bottom"/>
            <w:tcBorders>
              <w:bottom w:val="single" w:sz="8" w:color="auto"/>
            </w:tcBorders>
          </w:tcPr>
          <w:p>
            <w:pPr>
              <w:jc w:val="right"/>
              <w:ind w:right="749"/>
              <w:spacing w:after="0" w:line="157" w:lineRule="exact"/>
              <w:rPr>
                <w:sz w:val="20"/>
                <w:szCs w:val="20"/>
                <w:color w:val="auto"/>
              </w:rPr>
            </w:pPr>
            <w:r>
              <w:rPr>
                <w:rFonts w:ascii="Arial" w:cs="Arial" w:eastAsia="Arial" w:hAnsi="Arial"/>
                <w:sz w:val="14"/>
                <w:szCs w:val="14"/>
                <w:color w:val="auto"/>
              </w:rPr>
              <w:t>6,553,838</w:t>
            </w:r>
          </w:p>
        </w:tc>
        <w:tc>
          <w:tcPr>
            <w:tcW w:w="1740" w:type="dxa"/>
            <w:vAlign w:val="bottom"/>
            <w:tcBorders>
              <w:bottom w:val="single" w:sz="8" w:color="auto"/>
            </w:tcBorders>
          </w:tcPr>
          <w:p>
            <w:pPr>
              <w:jc w:val="right"/>
              <w:ind w:right="568"/>
              <w:spacing w:after="0" w:line="157" w:lineRule="exact"/>
              <w:rPr>
                <w:sz w:val="20"/>
                <w:szCs w:val="20"/>
                <w:color w:val="auto"/>
              </w:rPr>
            </w:pPr>
            <w:r>
              <w:rPr>
                <w:rFonts w:ascii="Arial" w:cs="Arial" w:eastAsia="Arial" w:hAnsi="Arial"/>
                <w:sz w:val="14"/>
                <w:szCs w:val="14"/>
                <w:color w:val="auto"/>
              </w:rPr>
              <w:t>8.6%</w:t>
            </w:r>
          </w:p>
        </w:tc>
        <w:tc>
          <w:tcPr>
            <w:tcW w:w="2640" w:type="dxa"/>
            <w:vAlign w:val="bottom"/>
            <w:tcBorders>
              <w:bottom w:val="single" w:sz="8" w:color="auto"/>
            </w:tcBorders>
          </w:tcPr>
          <w:p>
            <w:pPr>
              <w:jc w:val="right"/>
              <w:ind w:right="949"/>
              <w:spacing w:after="0" w:line="157" w:lineRule="exact"/>
              <w:rPr>
                <w:sz w:val="20"/>
                <w:szCs w:val="20"/>
                <w:color w:val="auto"/>
              </w:rPr>
            </w:pPr>
            <w:r>
              <w:rPr>
                <w:rFonts w:ascii="Arial" w:cs="Arial" w:eastAsia="Arial" w:hAnsi="Arial"/>
                <w:sz w:val="14"/>
                <w:szCs w:val="14"/>
                <w:color w:val="auto"/>
              </w:rPr>
              <w:t>—</w:t>
            </w:r>
          </w:p>
        </w:tc>
      </w:tr>
      <w:tr>
        <w:trPr>
          <w:trHeight w:val="182"/>
        </w:trPr>
        <w:tc>
          <w:tcPr>
            <w:tcW w:w="4640" w:type="dxa"/>
            <w:vAlign w:val="bottom"/>
            <w:shd w:val="clear" w:color="auto" w:fill="CCCCCC"/>
          </w:tcPr>
          <w:p>
            <w:pPr>
              <w:ind w:left="60"/>
              <w:spacing w:after="0" w:line="182" w:lineRule="exact"/>
              <w:rPr>
                <w:sz w:val="20"/>
                <w:szCs w:val="20"/>
                <w:color w:val="auto"/>
              </w:rPr>
            </w:pPr>
            <w:r>
              <w:rPr>
                <w:rFonts w:ascii="Arial" w:cs="Arial" w:eastAsia="Arial" w:hAnsi="Arial"/>
                <w:sz w:val="13"/>
                <w:szCs w:val="13"/>
                <w:color w:val="auto"/>
              </w:rPr>
              <w:t>Glenview Capital Management, LLC</w:t>
            </w:r>
            <w:r>
              <w:rPr>
                <w:rFonts w:ascii="Arial" w:cs="Arial" w:eastAsia="Arial" w:hAnsi="Arial"/>
                <w:sz w:val="21"/>
                <w:szCs w:val="21"/>
                <w:color w:val="auto"/>
                <w:vertAlign w:val="superscript"/>
              </w:rPr>
              <w:t>(7)</w:t>
            </w:r>
          </w:p>
        </w:tc>
        <w:tc>
          <w:tcPr>
            <w:tcW w:w="2400" w:type="dxa"/>
            <w:vAlign w:val="bottom"/>
            <w:shd w:val="clear" w:color="auto" w:fill="CCCCCC"/>
          </w:tcPr>
          <w:p>
            <w:pPr>
              <w:spacing w:after="0"/>
              <w:rPr>
                <w:sz w:val="15"/>
                <w:szCs w:val="15"/>
                <w:color w:val="auto"/>
              </w:rPr>
            </w:pPr>
          </w:p>
        </w:tc>
        <w:tc>
          <w:tcPr>
            <w:tcW w:w="1740" w:type="dxa"/>
            <w:vAlign w:val="bottom"/>
            <w:shd w:val="clear" w:color="auto" w:fill="CCCCCC"/>
          </w:tcPr>
          <w:p>
            <w:pPr>
              <w:spacing w:after="0"/>
              <w:rPr>
                <w:sz w:val="15"/>
                <w:szCs w:val="15"/>
                <w:color w:val="auto"/>
              </w:rPr>
            </w:pPr>
          </w:p>
        </w:tc>
        <w:tc>
          <w:tcPr>
            <w:tcW w:w="2640" w:type="dxa"/>
            <w:vAlign w:val="bottom"/>
            <w:shd w:val="clear" w:color="auto" w:fill="CCCCCC"/>
          </w:tcPr>
          <w:p>
            <w:pPr>
              <w:spacing w:after="0"/>
              <w:rPr>
                <w:sz w:val="15"/>
                <w:szCs w:val="15"/>
                <w:color w:val="auto"/>
              </w:rPr>
            </w:pPr>
          </w:p>
        </w:tc>
      </w:tr>
      <w:tr>
        <w:trPr>
          <w:trHeight w:val="194"/>
        </w:trPr>
        <w:tc>
          <w:tcPr>
            <w:tcW w:w="4640" w:type="dxa"/>
            <w:vAlign w:val="bottom"/>
            <w:shd w:val="clear" w:color="auto" w:fill="CCCCCC"/>
          </w:tcPr>
          <w:p>
            <w:pPr>
              <w:ind w:left="60"/>
              <w:spacing w:after="0" w:line="194" w:lineRule="exact"/>
              <w:rPr>
                <w:sz w:val="20"/>
                <w:szCs w:val="20"/>
                <w:color w:val="auto"/>
              </w:rPr>
            </w:pPr>
            <w:r>
              <w:rPr>
                <w:rFonts w:ascii="Arial" w:cs="Arial" w:eastAsia="Arial" w:hAnsi="Arial"/>
                <w:sz w:val="14"/>
                <w:szCs w:val="14"/>
                <w:color w:val="auto"/>
              </w:rPr>
              <w:t>767 Fifth Avenue, 44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2400" w:type="dxa"/>
            <w:vAlign w:val="bottom"/>
            <w:shd w:val="clear" w:color="auto" w:fill="CCCCCC"/>
          </w:tcPr>
          <w:p>
            <w:pPr>
              <w:spacing w:after="0"/>
              <w:rPr>
                <w:sz w:val="16"/>
                <w:szCs w:val="16"/>
                <w:color w:val="auto"/>
              </w:rPr>
            </w:pPr>
          </w:p>
        </w:tc>
        <w:tc>
          <w:tcPr>
            <w:tcW w:w="1740" w:type="dxa"/>
            <w:vAlign w:val="bottom"/>
            <w:shd w:val="clear" w:color="auto" w:fill="CCCCCC"/>
          </w:tcPr>
          <w:p>
            <w:pPr>
              <w:spacing w:after="0"/>
              <w:rPr>
                <w:sz w:val="16"/>
                <w:szCs w:val="16"/>
                <w:color w:val="auto"/>
              </w:rPr>
            </w:pPr>
          </w:p>
        </w:tc>
        <w:tc>
          <w:tcPr>
            <w:tcW w:w="2640" w:type="dxa"/>
            <w:vAlign w:val="bottom"/>
            <w:shd w:val="clear" w:color="auto" w:fill="CCCCCC"/>
          </w:tcPr>
          <w:p>
            <w:pPr>
              <w:spacing w:after="0"/>
              <w:rPr>
                <w:sz w:val="16"/>
                <w:szCs w:val="16"/>
                <w:color w:val="auto"/>
              </w:rPr>
            </w:pPr>
          </w:p>
        </w:tc>
      </w:tr>
      <w:tr>
        <w:trPr>
          <w:trHeight w:val="157"/>
        </w:trPr>
        <w:tc>
          <w:tcPr>
            <w:tcW w:w="4640" w:type="dxa"/>
            <w:vAlign w:val="bottom"/>
            <w:tcBorders>
              <w:bottom w:val="single" w:sz="8" w:color="auto"/>
            </w:tcBorders>
            <w:shd w:val="clear" w:color="auto" w:fill="CCCCCC"/>
          </w:tcPr>
          <w:p>
            <w:pPr>
              <w:ind w:left="60"/>
              <w:spacing w:after="0" w:line="157" w:lineRule="exact"/>
              <w:rPr>
                <w:sz w:val="20"/>
                <w:szCs w:val="20"/>
                <w:color w:val="auto"/>
              </w:rPr>
            </w:pPr>
            <w:r>
              <w:rPr>
                <w:rFonts w:ascii="Arial" w:cs="Arial" w:eastAsia="Arial" w:hAnsi="Arial"/>
                <w:sz w:val="14"/>
                <w:szCs w:val="14"/>
                <w:color w:val="auto"/>
              </w:rPr>
              <w:t>New York, NY 10153</w:t>
            </w:r>
          </w:p>
        </w:tc>
        <w:tc>
          <w:tcPr>
            <w:tcW w:w="2400" w:type="dxa"/>
            <w:vAlign w:val="bottom"/>
            <w:tcBorders>
              <w:bottom w:val="single" w:sz="8" w:color="auto"/>
            </w:tcBorders>
            <w:shd w:val="clear" w:color="auto" w:fill="CCCCCC"/>
          </w:tcPr>
          <w:p>
            <w:pPr>
              <w:jc w:val="right"/>
              <w:ind w:right="749"/>
              <w:spacing w:after="0" w:line="157" w:lineRule="exact"/>
              <w:rPr>
                <w:sz w:val="20"/>
                <w:szCs w:val="20"/>
                <w:color w:val="auto"/>
              </w:rPr>
            </w:pPr>
            <w:r>
              <w:rPr>
                <w:rFonts w:ascii="Arial" w:cs="Arial" w:eastAsia="Arial" w:hAnsi="Arial"/>
                <w:sz w:val="14"/>
                <w:szCs w:val="14"/>
                <w:color w:val="auto"/>
              </w:rPr>
              <w:t>4,311,035</w:t>
            </w:r>
          </w:p>
        </w:tc>
        <w:tc>
          <w:tcPr>
            <w:tcW w:w="1740" w:type="dxa"/>
            <w:vAlign w:val="bottom"/>
            <w:tcBorders>
              <w:bottom w:val="single" w:sz="8" w:color="auto"/>
            </w:tcBorders>
            <w:shd w:val="clear" w:color="auto" w:fill="CCCCCC"/>
          </w:tcPr>
          <w:p>
            <w:pPr>
              <w:jc w:val="right"/>
              <w:ind w:right="568"/>
              <w:spacing w:after="0" w:line="157" w:lineRule="exact"/>
              <w:rPr>
                <w:sz w:val="20"/>
                <w:szCs w:val="20"/>
                <w:color w:val="auto"/>
              </w:rPr>
            </w:pPr>
            <w:r>
              <w:rPr>
                <w:rFonts w:ascii="Arial" w:cs="Arial" w:eastAsia="Arial" w:hAnsi="Arial"/>
                <w:sz w:val="14"/>
                <w:szCs w:val="14"/>
                <w:color w:val="auto"/>
              </w:rPr>
              <w:t>5.7%</w:t>
            </w:r>
          </w:p>
        </w:tc>
        <w:tc>
          <w:tcPr>
            <w:tcW w:w="2640" w:type="dxa"/>
            <w:vAlign w:val="bottom"/>
            <w:tcBorders>
              <w:bottom w:val="single" w:sz="8" w:color="auto"/>
            </w:tcBorders>
            <w:shd w:val="clear" w:color="auto" w:fill="CCCCCC"/>
          </w:tcPr>
          <w:p>
            <w:pPr>
              <w:jc w:val="right"/>
              <w:ind w:right="949"/>
              <w:spacing w:after="0" w:line="157" w:lineRule="exact"/>
              <w:rPr>
                <w:sz w:val="20"/>
                <w:szCs w:val="20"/>
                <w:color w:val="auto"/>
              </w:rPr>
            </w:pPr>
            <w:r>
              <w:rPr>
                <w:rFonts w:ascii="Arial" w:cs="Arial" w:eastAsia="Arial" w:hAnsi="Arial"/>
                <w:sz w:val="14"/>
                <w:szCs w:val="14"/>
                <w:color w:val="auto"/>
              </w:rPr>
              <w:t>—</w:t>
            </w:r>
          </w:p>
        </w:tc>
      </w:tr>
      <w:tr>
        <w:trPr>
          <w:trHeight w:val="187"/>
        </w:trPr>
        <w:tc>
          <w:tcPr>
            <w:tcW w:w="4640" w:type="dxa"/>
            <w:vAlign w:val="bottom"/>
          </w:tcPr>
          <w:p>
            <w:pPr>
              <w:ind w:left="60"/>
              <w:spacing w:after="0" w:line="188" w:lineRule="exact"/>
              <w:rPr>
                <w:sz w:val="20"/>
                <w:szCs w:val="20"/>
                <w:color w:val="auto"/>
              </w:rPr>
            </w:pPr>
            <w:r>
              <w:rPr>
                <w:rFonts w:ascii="Arial" w:cs="Arial" w:eastAsia="Arial" w:hAnsi="Arial"/>
                <w:sz w:val="13"/>
                <w:szCs w:val="13"/>
                <w:color w:val="auto"/>
              </w:rPr>
              <w:t>Nomura Holdings, Inc.</w:t>
            </w:r>
            <w:r>
              <w:rPr>
                <w:rFonts w:ascii="Arial" w:cs="Arial" w:eastAsia="Arial" w:hAnsi="Arial"/>
                <w:sz w:val="21"/>
                <w:szCs w:val="21"/>
                <w:color w:val="auto"/>
                <w:vertAlign w:val="superscript"/>
              </w:rPr>
              <w:t>(8)</w:t>
            </w:r>
          </w:p>
        </w:tc>
        <w:tc>
          <w:tcPr>
            <w:tcW w:w="24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62"/>
        </w:trPr>
        <w:tc>
          <w:tcPr>
            <w:tcW w:w="4640" w:type="dxa"/>
            <w:vAlign w:val="bottom"/>
          </w:tcPr>
          <w:p>
            <w:pPr>
              <w:ind w:left="60"/>
              <w:spacing w:after="0"/>
              <w:rPr>
                <w:sz w:val="20"/>
                <w:szCs w:val="20"/>
                <w:color w:val="auto"/>
              </w:rPr>
            </w:pPr>
            <w:r>
              <w:rPr>
                <w:rFonts w:ascii="Arial" w:cs="Arial" w:eastAsia="Arial" w:hAnsi="Arial"/>
                <w:sz w:val="14"/>
                <w:szCs w:val="14"/>
                <w:color w:val="auto"/>
              </w:rPr>
              <w:t>1-9-1 Nihonbashi, Chuo-ku</w:t>
            </w:r>
          </w:p>
        </w:tc>
        <w:tc>
          <w:tcPr>
            <w:tcW w:w="2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57"/>
        </w:trPr>
        <w:tc>
          <w:tcPr>
            <w:tcW w:w="46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Tokyo 103-8645, Japan</w:t>
            </w:r>
          </w:p>
        </w:tc>
        <w:tc>
          <w:tcPr>
            <w:tcW w:w="2400" w:type="dxa"/>
            <w:vAlign w:val="bottom"/>
            <w:tcBorders>
              <w:bottom w:val="single" w:sz="8" w:color="auto"/>
            </w:tcBorders>
          </w:tcPr>
          <w:p>
            <w:pPr>
              <w:jc w:val="right"/>
              <w:ind w:right="749"/>
              <w:spacing w:after="0" w:line="157" w:lineRule="exact"/>
              <w:rPr>
                <w:sz w:val="20"/>
                <w:szCs w:val="20"/>
                <w:color w:val="auto"/>
              </w:rPr>
            </w:pPr>
            <w:r>
              <w:rPr>
                <w:rFonts w:ascii="Arial" w:cs="Arial" w:eastAsia="Arial" w:hAnsi="Arial"/>
                <w:sz w:val="14"/>
                <w:szCs w:val="14"/>
                <w:color w:val="auto"/>
              </w:rPr>
              <w:t>4,139,202</w:t>
            </w:r>
          </w:p>
        </w:tc>
        <w:tc>
          <w:tcPr>
            <w:tcW w:w="1740" w:type="dxa"/>
            <w:vAlign w:val="bottom"/>
            <w:tcBorders>
              <w:bottom w:val="single" w:sz="8" w:color="auto"/>
            </w:tcBorders>
          </w:tcPr>
          <w:p>
            <w:pPr>
              <w:jc w:val="right"/>
              <w:ind w:right="568"/>
              <w:spacing w:after="0" w:line="157" w:lineRule="exact"/>
              <w:rPr>
                <w:sz w:val="20"/>
                <w:szCs w:val="20"/>
                <w:color w:val="auto"/>
              </w:rPr>
            </w:pPr>
            <w:r>
              <w:rPr>
                <w:rFonts w:ascii="Arial" w:cs="Arial" w:eastAsia="Arial" w:hAnsi="Arial"/>
                <w:sz w:val="14"/>
                <w:szCs w:val="14"/>
                <w:color w:val="auto"/>
              </w:rPr>
              <w:t>5.5%</w:t>
            </w:r>
          </w:p>
        </w:tc>
        <w:tc>
          <w:tcPr>
            <w:tcW w:w="2640" w:type="dxa"/>
            <w:vAlign w:val="bottom"/>
            <w:tcBorders>
              <w:bottom w:val="single" w:sz="8" w:color="auto"/>
            </w:tcBorders>
          </w:tcPr>
          <w:p>
            <w:pPr>
              <w:jc w:val="right"/>
              <w:ind w:right="949"/>
              <w:spacing w:after="0" w:line="157" w:lineRule="exact"/>
              <w:rPr>
                <w:sz w:val="20"/>
                <w:szCs w:val="20"/>
                <w:color w:val="auto"/>
              </w:rPr>
            </w:pPr>
            <w:r>
              <w:rPr>
                <w:rFonts w:ascii="Arial" w:cs="Arial" w:eastAsia="Arial" w:hAnsi="Arial"/>
                <w:sz w:val="14"/>
                <w:szCs w:val="14"/>
                <w:color w:val="auto"/>
              </w:rPr>
              <w:t>—</w:t>
            </w:r>
          </w:p>
        </w:tc>
      </w:tr>
      <w:tr>
        <w:trPr>
          <w:trHeight w:val="183"/>
        </w:trPr>
        <w:tc>
          <w:tcPr>
            <w:tcW w:w="4640" w:type="dxa"/>
            <w:vAlign w:val="bottom"/>
            <w:tcBorders>
              <w:bottom w:val="single" w:sz="8" w:color="auto"/>
            </w:tcBorders>
            <w:shd w:val="clear" w:color="auto" w:fill="CCCCCC"/>
          </w:tcPr>
          <w:p>
            <w:pPr>
              <w:ind w:left="60"/>
              <w:spacing w:after="0" w:line="183" w:lineRule="exact"/>
              <w:rPr>
                <w:sz w:val="20"/>
                <w:szCs w:val="20"/>
                <w:color w:val="auto"/>
              </w:rPr>
            </w:pPr>
            <w:r>
              <w:rPr>
                <w:rFonts w:ascii="Arial" w:cs="Arial" w:eastAsia="Arial" w:hAnsi="Arial"/>
                <w:sz w:val="13"/>
                <w:szCs w:val="13"/>
                <w:b w:val="1"/>
                <w:bCs w:val="1"/>
                <w:color w:val="auto"/>
              </w:rPr>
              <w:t xml:space="preserve">Directors, Nominees and Named Executive Officers: </w:t>
            </w:r>
            <w:r>
              <w:rPr>
                <w:rFonts w:ascii="Arial" w:cs="Arial" w:eastAsia="Arial" w:hAnsi="Arial"/>
                <w:sz w:val="21"/>
                <w:szCs w:val="21"/>
                <w:color w:val="auto"/>
                <w:vertAlign w:val="superscript"/>
              </w:rPr>
              <w:t>(9)</w:t>
            </w:r>
          </w:p>
        </w:tc>
        <w:tc>
          <w:tcPr>
            <w:tcW w:w="2400" w:type="dxa"/>
            <w:vAlign w:val="bottom"/>
            <w:tcBorders>
              <w:bottom w:val="single" w:sz="8" w:color="auto"/>
            </w:tcBorders>
            <w:shd w:val="clear" w:color="auto" w:fill="CCCCCC"/>
          </w:tcPr>
          <w:p>
            <w:pPr>
              <w:spacing w:after="0"/>
              <w:rPr>
                <w:sz w:val="15"/>
                <w:szCs w:val="15"/>
                <w:color w:val="auto"/>
              </w:rPr>
            </w:pPr>
          </w:p>
        </w:tc>
        <w:tc>
          <w:tcPr>
            <w:tcW w:w="1740" w:type="dxa"/>
            <w:vAlign w:val="bottom"/>
            <w:tcBorders>
              <w:bottom w:val="single" w:sz="8" w:color="auto"/>
            </w:tcBorders>
            <w:shd w:val="clear" w:color="auto" w:fill="CCCCCC"/>
          </w:tcPr>
          <w:p>
            <w:pPr>
              <w:spacing w:after="0"/>
              <w:rPr>
                <w:sz w:val="15"/>
                <w:szCs w:val="15"/>
                <w:color w:val="auto"/>
              </w:rPr>
            </w:pPr>
          </w:p>
        </w:tc>
        <w:tc>
          <w:tcPr>
            <w:tcW w:w="2640" w:type="dxa"/>
            <w:vAlign w:val="bottom"/>
            <w:tcBorders>
              <w:bottom w:val="single" w:sz="8" w:color="auto"/>
            </w:tcBorders>
            <w:shd w:val="clear" w:color="auto" w:fill="CCCCCC"/>
          </w:tcPr>
          <w:p>
            <w:pPr>
              <w:spacing w:after="0"/>
              <w:rPr>
                <w:sz w:val="15"/>
                <w:szCs w:val="15"/>
                <w:color w:val="auto"/>
              </w:rPr>
            </w:pP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Brian J. Choi</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Mary C. Choksi</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46,203</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37,103</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Leonard S. Coleman</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58,167</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23,986</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Larry D. De Shon</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310,355</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36,364</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Jeffrey H. Fox</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28,232</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18,232</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Lynn Krominga</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21,727</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15,967</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Glenn Lurie</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5,531</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5,531</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Eduardo G. Mestre</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73,376</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54,926</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Jagdeep Pahwa</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F. Robert Salerno</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45,949</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26,232</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Francis J. Shammo</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6,139</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6,139</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Carl Sparks</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5,801</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5,801</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Sanoke Viswanathan</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11,521</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11,521</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Joseph A. Ferraro</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86,322</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9,917</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Mark J. Servodidio</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101,970</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9,917</w:t>
            </w:r>
          </w:p>
        </w:tc>
      </w:tr>
      <w:tr>
        <w:trPr>
          <w:trHeight w:val="156"/>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Martyn Smith</w:t>
            </w:r>
          </w:p>
        </w:tc>
        <w:tc>
          <w:tcPr>
            <w:tcW w:w="2400" w:type="dxa"/>
            <w:vAlign w:val="bottom"/>
            <w:tcBorders>
              <w:bottom w:val="single" w:sz="8" w:color="auto"/>
            </w:tcBorders>
            <w:shd w:val="clear" w:color="auto" w:fill="CCCCCC"/>
          </w:tcPr>
          <w:p>
            <w:pPr>
              <w:jc w:val="right"/>
              <w:ind w:right="749"/>
              <w:spacing w:after="0" w:line="155" w:lineRule="exact"/>
              <w:rPr>
                <w:sz w:val="20"/>
                <w:szCs w:val="20"/>
                <w:color w:val="auto"/>
              </w:rPr>
            </w:pPr>
            <w:r>
              <w:rPr>
                <w:rFonts w:ascii="Arial" w:cs="Arial" w:eastAsia="Arial" w:hAnsi="Arial"/>
                <w:sz w:val="14"/>
                <w:szCs w:val="14"/>
                <w:color w:val="auto"/>
              </w:rPr>
              <w:t>725</w:t>
            </w:r>
          </w:p>
        </w:tc>
        <w:tc>
          <w:tcPr>
            <w:tcW w:w="1740" w:type="dxa"/>
            <w:vAlign w:val="bottom"/>
            <w:tcBorders>
              <w:bottom w:val="single" w:sz="8" w:color="auto"/>
            </w:tcBorders>
            <w:shd w:val="clear" w:color="auto" w:fill="CCCCCC"/>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shd w:val="clear" w:color="auto" w:fill="CCCCCC"/>
          </w:tcPr>
          <w:p>
            <w:pPr>
              <w:jc w:val="right"/>
              <w:ind w:right="949"/>
              <w:spacing w:after="0" w:line="155" w:lineRule="exact"/>
              <w:rPr>
                <w:sz w:val="20"/>
                <w:szCs w:val="20"/>
                <w:color w:val="auto"/>
              </w:rPr>
            </w:pPr>
            <w:r>
              <w:rPr>
                <w:rFonts w:ascii="Arial" w:cs="Arial" w:eastAsia="Arial" w:hAnsi="Arial"/>
                <w:sz w:val="14"/>
                <w:szCs w:val="14"/>
                <w:color w:val="auto"/>
              </w:rPr>
              <w:t>—</w:t>
            </w:r>
          </w:p>
        </w:tc>
      </w:tr>
      <w:tr>
        <w:trPr>
          <w:trHeight w:val="156"/>
        </w:trPr>
        <w:tc>
          <w:tcPr>
            <w:tcW w:w="46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Michael K. Tucker</w:t>
            </w:r>
          </w:p>
        </w:tc>
        <w:tc>
          <w:tcPr>
            <w:tcW w:w="2400" w:type="dxa"/>
            <w:vAlign w:val="bottom"/>
            <w:tcBorders>
              <w:bottom w:val="single" w:sz="8" w:color="auto"/>
            </w:tcBorders>
          </w:tcPr>
          <w:p>
            <w:pPr>
              <w:jc w:val="right"/>
              <w:ind w:right="749"/>
              <w:spacing w:after="0" w:line="155" w:lineRule="exact"/>
              <w:rPr>
                <w:sz w:val="20"/>
                <w:szCs w:val="20"/>
                <w:color w:val="auto"/>
              </w:rPr>
            </w:pPr>
            <w:r>
              <w:rPr>
                <w:rFonts w:ascii="Arial" w:cs="Arial" w:eastAsia="Arial" w:hAnsi="Arial"/>
                <w:sz w:val="14"/>
                <w:szCs w:val="14"/>
                <w:color w:val="auto"/>
              </w:rPr>
              <w:t>72,690</w:t>
            </w:r>
          </w:p>
        </w:tc>
        <w:tc>
          <w:tcPr>
            <w:tcW w:w="17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w:t>
            </w:r>
          </w:p>
        </w:tc>
        <w:tc>
          <w:tcPr>
            <w:tcW w:w="2640" w:type="dxa"/>
            <w:vAlign w:val="bottom"/>
            <w:tcBorders>
              <w:bottom w:val="single" w:sz="8" w:color="auto"/>
            </w:tcBorders>
          </w:tcPr>
          <w:p>
            <w:pPr>
              <w:jc w:val="right"/>
              <w:ind w:right="949"/>
              <w:spacing w:after="0" w:line="155" w:lineRule="exact"/>
              <w:rPr>
                <w:sz w:val="20"/>
                <w:szCs w:val="20"/>
                <w:color w:val="auto"/>
              </w:rPr>
            </w:pPr>
            <w:r>
              <w:rPr>
                <w:rFonts w:ascii="Arial" w:cs="Arial" w:eastAsia="Arial" w:hAnsi="Arial"/>
                <w:sz w:val="14"/>
                <w:szCs w:val="14"/>
                <w:color w:val="auto"/>
              </w:rPr>
              <w:t>5,784</w:t>
            </w:r>
          </w:p>
        </w:tc>
      </w:tr>
      <w:tr>
        <w:trPr>
          <w:trHeight w:val="163"/>
        </w:trPr>
        <w:tc>
          <w:tcPr>
            <w:tcW w:w="464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b w:val="1"/>
                <w:bCs w:val="1"/>
                <w:color w:val="auto"/>
              </w:rPr>
              <w:t>All Directors and Executive Officers as a group (19 persons)</w:t>
            </w:r>
          </w:p>
        </w:tc>
        <w:tc>
          <w:tcPr>
            <w:tcW w:w="2400" w:type="dxa"/>
            <w:vAlign w:val="bottom"/>
            <w:tcBorders>
              <w:bottom w:val="single" w:sz="8" w:color="auto"/>
            </w:tcBorders>
            <w:shd w:val="clear" w:color="auto" w:fill="CCCCCC"/>
          </w:tcPr>
          <w:p>
            <w:pPr>
              <w:jc w:val="right"/>
              <w:ind w:right="529"/>
              <w:spacing w:after="0" w:line="156" w:lineRule="exact"/>
              <w:rPr>
                <w:sz w:val="20"/>
                <w:szCs w:val="20"/>
                <w:color w:val="auto"/>
              </w:rPr>
            </w:pPr>
            <w:r>
              <w:rPr>
                <w:rFonts w:ascii="Arial" w:cs="Arial" w:eastAsia="Arial" w:hAnsi="Arial"/>
                <w:sz w:val="12"/>
                <w:szCs w:val="12"/>
                <w:b w:val="1"/>
                <w:bCs w:val="1"/>
                <w:color w:val="auto"/>
              </w:rPr>
              <w:t>925,205</w:t>
            </w:r>
            <w:r>
              <w:rPr>
                <w:rFonts w:ascii="Arial" w:cs="Arial" w:eastAsia="Arial" w:hAnsi="Arial"/>
                <w:sz w:val="18"/>
                <w:szCs w:val="18"/>
                <w:color w:val="auto"/>
                <w:vertAlign w:val="superscript"/>
              </w:rPr>
              <w:t>(10)</w:t>
            </w:r>
          </w:p>
        </w:tc>
        <w:tc>
          <w:tcPr>
            <w:tcW w:w="1740" w:type="dxa"/>
            <w:vAlign w:val="bottom"/>
            <w:tcBorders>
              <w:bottom w:val="single" w:sz="8" w:color="auto"/>
            </w:tcBorders>
            <w:shd w:val="clear" w:color="auto" w:fill="CCCCCC"/>
          </w:tcPr>
          <w:p>
            <w:pPr>
              <w:jc w:val="right"/>
              <w:ind w:right="568"/>
              <w:spacing w:after="0" w:line="155" w:lineRule="exact"/>
              <w:rPr>
                <w:sz w:val="20"/>
                <w:szCs w:val="20"/>
                <w:color w:val="auto"/>
              </w:rPr>
            </w:pPr>
            <w:r>
              <w:rPr>
                <w:rFonts w:ascii="Arial" w:cs="Arial" w:eastAsia="Arial" w:hAnsi="Arial"/>
                <w:sz w:val="14"/>
                <w:szCs w:val="14"/>
                <w:b w:val="1"/>
                <w:bCs w:val="1"/>
                <w:color w:val="auto"/>
              </w:rPr>
              <w:t>1.2%</w:t>
            </w:r>
          </w:p>
        </w:tc>
        <w:tc>
          <w:tcPr>
            <w:tcW w:w="2640" w:type="dxa"/>
            <w:vAlign w:val="bottom"/>
            <w:tcBorders>
              <w:bottom w:val="single" w:sz="8" w:color="auto"/>
            </w:tcBorders>
            <w:shd w:val="clear" w:color="auto" w:fill="CCCCCC"/>
          </w:tcPr>
          <w:p>
            <w:pPr>
              <w:jc w:val="right"/>
              <w:ind w:right="749"/>
              <w:spacing w:after="0" w:line="156" w:lineRule="exact"/>
              <w:rPr>
                <w:sz w:val="20"/>
                <w:szCs w:val="20"/>
                <w:color w:val="auto"/>
              </w:rPr>
            </w:pPr>
            <w:r>
              <w:rPr>
                <w:rFonts w:ascii="Arial" w:cs="Arial" w:eastAsia="Arial" w:hAnsi="Arial"/>
                <w:sz w:val="12"/>
                <w:szCs w:val="12"/>
                <w:b w:val="1"/>
                <w:bCs w:val="1"/>
                <w:color w:val="auto"/>
              </w:rPr>
              <w:t>276,250</w:t>
            </w:r>
            <w:r>
              <w:rPr>
                <w:rFonts w:ascii="Arial" w:cs="Arial" w:eastAsia="Arial" w:hAnsi="Arial"/>
                <w:sz w:val="18"/>
                <w:szCs w:val="18"/>
                <w:color w:val="auto"/>
                <w:vertAlign w:val="superscript"/>
              </w:rPr>
              <w:t>(11)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163" w:lineRule="exact"/>
        <w:rPr>
          <w:sz w:val="20"/>
          <w:szCs w:val="20"/>
          <w:color w:val="auto"/>
        </w:rPr>
      </w:pPr>
    </w:p>
    <w:p>
      <w:pPr>
        <w:ind w:left="360" w:hanging="352"/>
        <w:spacing w:after="0" w:line="258" w:lineRule="auto"/>
        <w:tabs>
          <w:tab w:leader="none" w:pos="3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February 28, 2019.</w:t>
      </w:r>
    </w:p>
    <w:p>
      <w:pPr>
        <w:spacing w:after="0" w:line="140" w:lineRule="exact"/>
        <w:rPr>
          <w:sz w:val="20"/>
          <w:szCs w:val="20"/>
          <w:color w:val="auto"/>
        </w:rPr>
      </w:pPr>
    </w:p>
    <w:p>
      <w:pPr>
        <w:ind w:left="360" w:hanging="352"/>
        <w:spacing w:after="0" w:line="258"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restricted stock units, and (iii) director deferred stock units that may be settled or exercised within 60 days of February 28, 2019.</w:t>
      </w:r>
    </w:p>
    <w:p>
      <w:pPr>
        <w:spacing w:after="0" w:line="140" w:lineRule="exact"/>
        <w:rPr>
          <w:rFonts w:ascii="Arial" w:cs="Arial" w:eastAsia="Arial" w:hAnsi="Arial"/>
          <w:sz w:val="14"/>
          <w:szCs w:val="14"/>
          <w:color w:val="auto"/>
        </w:rPr>
      </w:pPr>
    </w:p>
    <w:p>
      <w:pPr>
        <w:ind w:left="360" w:hanging="352"/>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Based on 75,770,120 shares of Common Stock outstanding on February 28, 2019.</w:t>
      </w:r>
    </w:p>
    <w:p>
      <w:pPr>
        <w:spacing w:after="0" w:line="163" w:lineRule="exact"/>
        <w:rPr>
          <w:rFonts w:ascii="Arial" w:cs="Arial" w:eastAsia="Arial" w:hAnsi="Arial"/>
          <w:sz w:val="14"/>
          <w:szCs w:val="14"/>
          <w:color w:val="auto"/>
        </w:rPr>
      </w:pPr>
    </w:p>
    <w:p>
      <w:pPr>
        <w:ind w:left="360" w:hanging="352"/>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(i) time-vested restricted stock units and (ii) director deferred stock units that will vest or may be exercised within 60 days of February 28, 2019.</w:t>
      </w:r>
    </w:p>
    <w:p>
      <w:pPr>
        <w:spacing w:after="0" w:line="163" w:lineRule="exact"/>
        <w:rPr>
          <w:rFonts w:ascii="Arial" w:cs="Arial" w:eastAsia="Arial" w:hAnsi="Arial"/>
          <w:sz w:val="14"/>
          <w:szCs w:val="14"/>
          <w:color w:val="auto"/>
        </w:rPr>
      </w:pPr>
    </w:p>
    <w:p>
      <w:pPr>
        <w:jc w:val="both"/>
        <w:ind w:left="360" w:hanging="352"/>
        <w:spacing w:after="0" w:line="244"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beneficial ownership of 16,189,300 shares of Common Stock by SRS Investment Management, LLC (“SRS”) and Karthik R. Sarma (the “Reporting Persons”), as derived solely from information reported on Schedule 13D/A under the Exchange Act, as filed with the SEC on February 26, 2019. Such Schedule 13D/A indicates that SRS and Mr. Sarma share voting and dispositive power over the shares of Common Stock. Such Schedule 13D/A also indicates that the Reporting Persons have economic exposure to, and may be deemed to beneficially own, an additional 8,810,700 notional shares of Common Stock pursuant to cash-settled equity swaps. Such notional shares represent approximately 11.6% of the shares of Common Stock outstanding on February 28, 2019. The Schedule 13D/A indicates that the Reporting Persons do not have voting power or dispositive power with respect to the shares referenced in such swaps, and disclaim beneficial ownership of the shares underlying such swaps.</w:t>
      </w:r>
    </w:p>
    <w:p>
      <w:pPr>
        <w:spacing w:after="0" w:line="152" w:lineRule="exact"/>
        <w:rPr>
          <w:rFonts w:ascii="Arial" w:cs="Arial" w:eastAsia="Arial" w:hAnsi="Arial"/>
          <w:sz w:val="14"/>
          <w:szCs w:val="14"/>
          <w:color w:val="auto"/>
        </w:rPr>
      </w:pPr>
    </w:p>
    <w:p>
      <w:pPr>
        <w:jc w:val="both"/>
        <w:ind w:left="360" w:hanging="352"/>
        <w:spacing w:after="0" w:line="250"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beneficial ownership of 7,887,813 shares of Common Stock by BlackRock, Inc. (“BlackRock”), as derived solely from information in a Schedule 13G/A under the Exchange Act, filed with the SEC on January 24, 2019. Such Schedule 13G/A indicates that BlackRock has sole voting power over 7,712,870 shares of Common Stock and sole dispositive power over 7,887,813 shares of Common Stock.</w:t>
      </w:r>
    </w:p>
    <w:p>
      <w:pPr>
        <w:spacing w:after="0" w:line="145" w:lineRule="exact"/>
        <w:rPr>
          <w:rFonts w:ascii="Arial" w:cs="Arial" w:eastAsia="Arial" w:hAnsi="Arial"/>
          <w:sz w:val="14"/>
          <w:szCs w:val="14"/>
          <w:color w:val="auto"/>
        </w:rPr>
      </w:pPr>
    </w:p>
    <w:p>
      <w:pPr>
        <w:jc w:val="both"/>
        <w:ind w:left="360" w:hanging="352"/>
        <w:spacing w:after="0" w:line="250"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beneficial ownership of 6,553,838 shares of Common Stock by The Vanguard Group, Inc., as derived solely from information reported in a Schedule 13G/A under the Exchange Act, filed with the SEC on February 11, 2019. Such Schedule 13G/A indicates that The Vanguard Group, Inc. has sole voting power over 138,815 shares, shared voting power over 9,754 shares, sole dispositive power over 6,412,945 shares, and shared dispositive power over 140,893 shares of Common Stock.</w:t>
      </w:r>
    </w:p>
    <w:p>
      <w:pPr>
        <w:spacing w:after="0" w:line="145" w:lineRule="exact"/>
        <w:rPr>
          <w:rFonts w:ascii="Arial" w:cs="Arial" w:eastAsia="Arial" w:hAnsi="Arial"/>
          <w:sz w:val="14"/>
          <w:szCs w:val="14"/>
          <w:color w:val="auto"/>
        </w:rPr>
      </w:pPr>
    </w:p>
    <w:p>
      <w:pPr>
        <w:jc w:val="both"/>
        <w:ind w:left="360" w:hanging="352"/>
        <w:spacing w:after="0" w:line="250"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beneficial ownership of shares of Common Stock by Glenview Capital Management, LLC and Larry Robbins as derived solely from information reported in a Schedule 13G/A under the Exchange Act, filed with the SEC on February 14, 2019. Such Schedule 13G/A indicates that Glenview Capital Management, LLC and Mr. Robbins share voting and dispositive power over the shares of Common Stock.</w:t>
      </w:r>
    </w:p>
    <w:p>
      <w:pPr>
        <w:spacing w:after="0" w:line="145" w:lineRule="exact"/>
        <w:rPr>
          <w:rFonts w:ascii="Arial" w:cs="Arial" w:eastAsia="Arial" w:hAnsi="Arial"/>
          <w:sz w:val="14"/>
          <w:szCs w:val="14"/>
          <w:color w:val="auto"/>
        </w:rPr>
      </w:pPr>
    </w:p>
    <w:p>
      <w:pPr>
        <w:jc w:val="both"/>
        <w:ind w:left="360" w:right="20" w:hanging="352"/>
        <w:spacing w:after="0" w:line="250"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beneficial ownership of 4,139,202 shares of Common Stock by Nomura Holdings, Inc. and Nomura Global Financial Products, Inc., as derived solely from information reported in a Schedule 13G under the Exchange Act, filed with the SEC on February 13, 2019. Such Schedule 13G indicates that Nomura Holdings, Inc. and Nomura Global Financial Products, Inc. share voting and dispositive power over the shares of Common Stock.</w:t>
      </w:r>
    </w:p>
    <w:p>
      <w:pPr>
        <w:spacing w:after="0" w:line="145" w:lineRule="exact"/>
        <w:rPr>
          <w:rFonts w:ascii="Arial" w:cs="Arial" w:eastAsia="Arial" w:hAnsi="Arial"/>
          <w:sz w:val="14"/>
          <w:szCs w:val="14"/>
          <w:color w:val="auto"/>
        </w:rPr>
      </w:pPr>
    </w:p>
    <w:p>
      <w:pPr>
        <w:jc w:val="both"/>
        <w:ind w:left="360" w:hanging="352"/>
        <w:spacing w:after="0" w:line="247"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each non-employee director, (1) includes deferred stock units held under the Non-Employee Directors Deferred Compensation Plan, which, pursuant to the terms of the Plan, will be distributed in the form of Common Stock on a one-to-one basis as soon as reasonably practicable following such director’s retirement or termination of service from the Board for any reason (“Director Shares”), and (2) excludes deferred stock units held under the plan, which pursuant to the terms of the Plan will be distributed seven months following such director’s retirement or termination of service from the Board for any reason (“Director Deferred Shares”), as follows: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Director</w:t>
            </w:r>
          </w:p>
        </w:tc>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80" w:type="dxa"/>
            <w:vAlign w:val="bottom"/>
          </w:tcPr>
          <w:p>
            <w:pPr>
              <w:ind w:left="580"/>
              <w:spacing w:after="0"/>
              <w:rPr>
                <w:sz w:val="20"/>
                <w:szCs w:val="20"/>
                <w:color w:val="auto"/>
              </w:rPr>
            </w:pPr>
            <w:r>
              <w:rPr>
                <w:rFonts w:ascii="Arial" w:cs="Arial" w:eastAsia="Arial" w:hAnsi="Arial"/>
                <w:sz w:val="14"/>
                <w:szCs w:val="14"/>
                <w:b w:val="1"/>
                <w:bCs w:val="1"/>
                <w:color w:val="auto"/>
              </w:rPr>
              <w:t>Director</w:t>
            </w:r>
          </w:p>
        </w:tc>
      </w:tr>
      <w:tr>
        <w:trPr>
          <w:trHeight w:val="162"/>
        </w:trPr>
        <w:tc>
          <w:tcPr>
            <w:tcW w:w="1560" w:type="dxa"/>
            <w:vAlign w:val="bottom"/>
          </w:tcPr>
          <w:p>
            <w:pPr>
              <w:spacing w:after="0"/>
              <w:rPr>
                <w:sz w:val="14"/>
                <w:szCs w:val="14"/>
                <w:color w:val="auto"/>
              </w:rPr>
            </w:pPr>
          </w:p>
        </w:tc>
        <w:tc>
          <w:tcPr>
            <w:tcW w:w="1740" w:type="dxa"/>
            <w:vAlign w:val="bottom"/>
          </w:tcPr>
          <w:p>
            <w:pPr>
              <w:ind w:left="600"/>
              <w:spacing w:after="0"/>
              <w:rPr>
                <w:sz w:val="20"/>
                <w:szCs w:val="20"/>
                <w:color w:val="auto"/>
              </w:rPr>
            </w:pPr>
            <w:r>
              <w:rPr>
                <w:rFonts w:ascii="Arial" w:cs="Arial" w:eastAsia="Arial" w:hAnsi="Arial"/>
                <w:sz w:val="14"/>
                <w:szCs w:val="14"/>
                <w:b w:val="1"/>
                <w:bCs w:val="1"/>
                <w:color w:val="auto"/>
              </w:rPr>
              <w:t>Director</w:t>
            </w: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Deferred</w:t>
            </w:r>
          </w:p>
        </w:tc>
        <w:tc>
          <w:tcPr>
            <w:tcW w:w="1960" w:type="dxa"/>
            <w:vAlign w:val="bottom"/>
          </w:tcPr>
          <w:p>
            <w:pPr>
              <w:spacing w:after="0"/>
              <w:rPr>
                <w:sz w:val="14"/>
                <w:szCs w:val="14"/>
                <w:color w:val="auto"/>
              </w:rPr>
            </w:pPr>
          </w:p>
        </w:tc>
        <w:tc>
          <w:tcPr>
            <w:tcW w:w="1460" w:type="dxa"/>
            <w:vAlign w:val="bottom"/>
          </w:tcPr>
          <w:p>
            <w:pPr>
              <w:ind w:left="320"/>
              <w:spacing w:after="0"/>
              <w:rPr>
                <w:sz w:val="20"/>
                <w:szCs w:val="20"/>
                <w:color w:val="auto"/>
              </w:rPr>
            </w:pPr>
            <w:r>
              <w:rPr>
                <w:rFonts w:ascii="Arial" w:cs="Arial" w:eastAsia="Arial" w:hAnsi="Arial"/>
                <w:sz w:val="14"/>
                <w:szCs w:val="14"/>
                <w:b w:val="1"/>
                <w:bCs w:val="1"/>
                <w:color w:val="auto"/>
              </w:rPr>
              <w:t>Director</w:t>
            </w:r>
          </w:p>
        </w:tc>
        <w:tc>
          <w:tcPr>
            <w:tcW w:w="2280" w:type="dxa"/>
            <w:vAlign w:val="bottom"/>
          </w:tcPr>
          <w:p>
            <w:pPr>
              <w:ind w:left="580"/>
              <w:spacing w:after="0"/>
              <w:rPr>
                <w:sz w:val="20"/>
                <w:szCs w:val="20"/>
                <w:color w:val="auto"/>
              </w:rPr>
            </w:pPr>
            <w:r>
              <w:rPr>
                <w:rFonts w:ascii="Arial" w:cs="Arial" w:eastAsia="Arial" w:hAnsi="Arial"/>
                <w:sz w:val="14"/>
                <w:szCs w:val="14"/>
                <w:b w:val="1"/>
                <w:bCs w:val="1"/>
                <w:color w:val="auto"/>
              </w:rPr>
              <w:t>Deferred</w:t>
            </w:r>
          </w:p>
        </w:tc>
      </w:tr>
      <w:tr>
        <w:trPr>
          <w:trHeight w:val="182"/>
        </w:trPr>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Director</w:t>
            </w:r>
          </w:p>
        </w:tc>
        <w:tc>
          <w:tcPr>
            <w:tcW w:w="17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Shares</w:t>
            </w:r>
          </w:p>
        </w:tc>
        <w:tc>
          <w:tcPr>
            <w:tcW w:w="19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Director</w:t>
            </w: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Shares</w:t>
            </w:r>
          </w:p>
        </w:tc>
        <w:tc>
          <w:tcPr>
            <w:tcW w:w="22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Shares</w:t>
            </w:r>
          </w:p>
        </w:tc>
      </w:tr>
      <w:tr>
        <w:trPr>
          <w:trHeight w:val="162"/>
        </w:trPr>
        <w:tc>
          <w:tcPr>
            <w:tcW w:w="15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Mr. Choi</w:t>
            </w:r>
          </w:p>
        </w:tc>
        <w:tc>
          <w:tcPr>
            <w:tcW w:w="1740" w:type="dxa"/>
            <w:vAlign w:val="bottom"/>
            <w:tcBorders>
              <w:bottom w:val="single" w:sz="8" w:color="auto"/>
            </w:tcBorders>
            <w:shd w:val="clear" w:color="auto" w:fill="CCCCCC"/>
          </w:tcPr>
          <w:p>
            <w:pPr>
              <w:ind w:left="60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CCCC"/>
          </w:tcPr>
          <w:p>
            <w:pPr>
              <w:ind w:left="580"/>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shd w:val="clear" w:color="auto" w:fill="CCCCCC"/>
          </w:tcPr>
          <w:p>
            <w:pPr>
              <w:ind w:left="560"/>
              <w:spacing w:after="0"/>
              <w:rPr>
                <w:sz w:val="20"/>
                <w:szCs w:val="20"/>
                <w:color w:val="auto"/>
              </w:rPr>
            </w:pPr>
            <w:r>
              <w:rPr>
                <w:rFonts w:ascii="Arial" w:cs="Arial" w:eastAsia="Arial" w:hAnsi="Arial"/>
                <w:sz w:val="14"/>
                <w:szCs w:val="14"/>
                <w:color w:val="auto"/>
              </w:rPr>
              <w:t>Mr. Mestre</w:t>
            </w:r>
          </w:p>
        </w:tc>
        <w:tc>
          <w:tcPr>
            <w:tcW w:w="1460" w:type="dxa"/>
            <w:vAlign w:val="bottom"/>
            <w:tcBorders>
              <w:bottom w:val="single" w:sz="8" w:color="auto"/>
            </w:tcBorders>
            <w:shd w:val="clear" w:color="auto" w:fill="CCCCCC"/>
          </w:tcPr>
          <w:p>
            <w:pPr>
              <w:jc w:val="center"/>
              <w:ind w:right="308"/>
              <w:spacing w:after="0"/>
              <w:rPr>
                <w:sz w:val="20"/>
                <w:szCs w:val="20"/>
                <w:color w:val="auto"/>
              </w:rPr>
            </w:pPr>
            <w:r>
              <w:rPr>
                <w:rFonts w:ascii="Arial" w:cs="Arial" w:eastAsia="Arial" w:hAnsi="Arial"/>
                <w:sz w:val="14"/>
                <w:szCs w:val="14"/>
                <w:color w:val="auto"/>
              </w:rPr>
              <w:t>54,926</w:t>
            </w:r>
          </w:p>
        </w:tc>
        <w:tc>
          <w:tcPr>
            <w:tcW w:w="2280" w:type="dxa"/>
            <w:vAlign w:val="bottom"/>
            <w:tcBorders>
              <w:bottom w:val="single" w:sz="8" w:color="auto"/>
            </w:tcBorders>
            <w:shd w:val="clear" w:color="auto" w:fill="CCCCCC"/>
          </w:tcPr>
          <w:p>
            <w:pPr>
              <w:ind w:left="580"/>
              <w:spacing w:after="0"/>
              <w:rPr>
                <w:sz w:val="20"/>
                <w:szCs w:val="20"/>
                <w:color w:val="auto"/>
              </w:rPr>
            </w:pPr>
            <w:r>
              <w:rPr>
                <w:rFonts w:ascii="Arial" w:cs="Arial" w:eastAsia="Arial" w:hAnsi="Arial"/>
                <w:sz w:val="14"/>
                <w:szCs w:val="14"/>
                <w:color w:val="auto"/>
              </w:rPr>
              <w:t>32,979</w:t>
            </w:r>
          </w:p>
        </w:tc>
      </w:tr>
      <w:tr>
        <w:trPr>
          <w:trHeight w:val="156"/>
        </w:trPr>
        <w:tc>
          <w:tcPr>
            <w:tcW w:w="15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Ms. Choksi</w:t>
            </w:r>
          </w:p>
        </w:tc>
        <w:tc>
          <w:tcPr>
            <w:tcW w:w="1740" w:type="dxa"/>
            <w:vAlign w:val="bottom"/>
            <w:tcBorders>
              <w:bottom w:val="single" w:sz="8" w:color="auto"/>
            </w:tcBorders>
          </w:tcPr>
          <w:p>
            <w:pPr>
              <w:ind w:left="600"/>
              <w:spacing w:after="0" w:line="155" w:lineRule="exact"/>
              <w:rPr>
                <w:sz w:val="20"/>
                <w:szCs w:val="20"/>
                <w:color w:val="auto"/>
              </w:rPr>
            </w:pPr>
            <w:r>
              <w:rPr>
                <w:rFonts w:ascii="Arial" w:cs="Arial" w:eastAsia="Arial" w:hAnsi="Arial"/>
                <w:sz w:val="14"/>
                <w:szCs w:val="14"/>
                <w:color w:val="auto"/>
              </w:rPr>
              <w:t>37,103</w:t>
            </w:r>
          </w:p>
        </w:tc>
        <w:tc>
          <w:tcPr>
            <w:tcW w:w="172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35,584</w:t>
            </w:r>
          </w:p>
        </w:tc>
        <w:tc>
          <w:tcPr>
            <w:tcW w:w="19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color w:val="auto"/>
              </w:rPr>
              <w:t>Mr. Pahwa</w:t>
            </w:r>
          </w:p>
        </w:tc>
        <w:tc>
          <w:tcPr>
            <w:tcW w:w="1460" w:type="dxa"/>
            <w:vAlign w:val="bottom"/>
            <w:tcBorders>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228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r>
      <w:tr>
        <w:trPr>
          <w:trHeight w:val="156"/>
        </w:trPr>
        <w:tc>
          <w:tcPr>
            <w:tcW w:w="156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Mr. Coleman</w:t>
            </w:r>
          </w:p>
        </w:tc>
        <w:tc>
          <w:tcPr>
            <w:tcW w:w="1740" w:type="dxa"/>
            <w:vAlign w:val="bottom"/>
            <w:tcBorders>
              <w:bottom w:val="single" w:sz="8" w:color="auto"/>
            </w:tcBorders>
            <w:shd w:val="clear" w:color="auto" w:fill="CCCCCC"/>
          </w:tcPr>
          <w:p>
            <w:pPr>
              <w:ind w:left="600"/>
              <w:spacing w:after="0" w:line="155" w:lineRule="exact"/>
              <w:rPr>
                <w:sz w:val="20"/>
                <w:szCs w:val="20"/>
                <w:color w:val="auto"/>
              </w:rPr>
            </w:pPr>
            <w:r>
              <w:rPr>
                <w:rFonts w:ascii="Arial" w:cs="Arial" w:eastAsia="Arial" w:hAnsi="Arial"/>
                <w:sz w:val="14"/>
                <w:szCs w:val="14"/>
                <w:color w:val="auto"/>
              </w:rPr>
              <w:t>23,986</w:t>
            </w:r>
          </w:p>
        </w:tc>
        <w:tc>
          <w:tcPr>
            <w:tcW w:w="1720" w:type="dxa"/>
            <w:vAlign w:val="bottom"/>
            <w:tcBorders>
              <w:bottom w:val="single" w:sz="8" w:color="auto"/>
            </w:tcBorders>
            <w:shd w:val="clear" w:color="auto" w:fill="CCCCCC"/>
          </w:tcPr>
          <w:p>
            <w:pPr>
              <w:ind w:left="580"/>
              <w:spacing w:after="0" w:line="155" w:lineRule="exact"/>
              <w:rPr>
                <w:sz w:val="20"/>
                <w:szCs w:val="20"/>
                <w:color w:val="auto"/>
              </w:rPr>
            </w:pPr>
            <w:r>
              <w:rPr>
                <w:rFonts w:ascii="Arial" w:cs="Arial" w:eastAsia="Arial" w:hAnsi="Arial"/>
                <w:sz w:val="14"/>
                <w:szCs w:val="14"/>
                <w:color w:val="auto"/>
              </w:rPr>
              <w:t>45,301</w:t>
            </w:r>
          </w:p>
        </w:tc>
        <w:tc>
          <w:tcPr>
            <w:tcW w:w="1960" w:type="dxa"/>
            <w:vAlign w:val="bottom"/>
            <w:tcBorders>
              <w:bottom w:val="single" w:sz="8" w:color="auto"/>
            </w:tcBorders>
            <w:shd w:val="clear" w:color="auto" w:fill="CCCCCC"/>
          </w:tcPr>
          <w:p>
            <w:pPr>
              <w:ind w:left="560"/>
              <w:spacing w:after="0" w:line="155" w:lineRule="exact"/>
              <w:rPr>
                <w:sz w:val="20"/>
                <w:szCs w:val="20"/>
                <w:color w:val="auto"/>
              </w:rPr>
            </w:pPr>
            <w:r>
              <w:rPr>
                <w:rFonts w:ascii="Arial" w:cs="Arial" w:eastAsia="Arial" w:hAnsi="Arial"/>
                <w:sz w:val="14"/>
                <w:szCs w:val="14"/>
                <w:color w:val="auto"/>
              </w:rPr>
              <w:t>Mr. Salerno</w:t>
            </w:r>
          </w:p>
        </w:tc>
        <w:tc>
          <w:tcPr>
            <w:tcW w:w="1460" w:type="dxa"/>
            <w:vAlign w:val="bottom"/>
            <w:tcBorders>
              <w:bottom w:val="single" w:sz="8" w:color="auto"/>
            </w:tcBorders>
            <w:shd w:val="clear" w:color="auto" w:fill="CCCCCC"/>
          </w:tcPr>
          <w:p>
            <w:pPr>
              <w:jc w:val="center"/>
              <w:ind w:right="308"/>
              <w:spacing w:after="0" w:line="155" w:lineRule="exact"/>
              <w:rPr>
                <w:sz w:val="20"/>
                <w:szCs w:val="20"/>
                <w:color w:val="auto"/>
              </w:rPr>
            </w:pPr>
            <w:r>
              <w:rPr>
                <w:rFonts w:ascii="Arial" w:cs="Arial" w:eastAsia="Arial" w:hAnsi="Arial"/>
                <w:sz w:val="14"/>
                <w:szCs w:val="14"/>
                <w:color w:val="auto"/>
              </w:rPr>
              <w:t>26,232</w:t>
            </w:r>
          </w:p>
        </w:tc>
        <w:tc>
          <w:tcPr>
            <w:tcW w:w="2280" w:type="dxa"/>
            <w:vAlign w:val="bottom"/>
            <w:tcBorders>
              <w:bottom w:val="single" w:sz="8" w:color="auto"/>
            </w:tcBorders>
            <w:shd w:val="clear" w:color="auto" w:fill="CCCCCC"/>
          </w:tcPr>
          <w:p>
            <w:pPr>
              <w:ind w:left="580"/>
              <w:spacing w:after="0" w:line="155" w:lineRule="exact"/>
              <w:rPr>
                <w:sz w:val="20"/>
                <w:szCs w:val="20"/>
                <w:color w:val="auto"/>
              </w:rPr>
            </w:pPr>
            <w:r>
              <w:rPr>
                <w:rFonts w:ascii="Arial" w:cs="Arial" w:eastAsia="Arial" w:hAnsi="Arial"/>
                <w:sz w:val="14"/>
                <w:szCs w:val="14"/>
                <w:color w:val="auto"/>
              </w:rPr>
              <w:t>—</w:t>
            </w:r>
          </w:p>
        </w:tc>
      </w:tr>
      <w:tr>
        <w:trPr>
          <w:trHeight w:val="156"/>
        </w:trPr>
        <w:tc>
          <w:tcPr>
            <w:tcW w:w="15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Mr. Fox</w:t>
            </w:r>
          </w:p>
        </w:tc>
        <w:tc>
          <w:tcPr>
            <w:tcW w:w="1740" w:type="dxa"/>
            <w:vAlign w:val="bottom"/>
            <w:tcBorders>
              <w:bottom w:val="single" w:sz="8" w:color="auto"/>
            </w:tcBorders>
          </w:tcPr>
          <w:p>
            <w:pPr>
              <w:ind w:left="600"/>
              <w:spacing w:after="0" w:line="155" w:lineRule="exact"/>
              <w:rPr>
                <w:sz w:val="20"/>
                <w:szCs w:val="20"/>
                <w:color w:val="auto"/>
              </w:rPr>
            </w:pPr>
            <w:r>
              <w:rPr>
                <w:rFonts w:ascii="Arial" w:cs="Arial" w:eastAsia="Arial" w:hAnsi="Arial"/>
                <w:sz w:val="14"/>
                <w:szCs w:val="14"/>
                <w:color w:val="auto"/>
              </w:rPr>
              <w:t>18,232</w:t>
            </w:r>
          </w:p>
        </w:tc>
        <w:tc>
          <w:tcPr>
            <w:tcW w:w="172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color w:val="auto"/>
              </w:rPr>
              <w:t>Mr. Shammo</w:t>
            </w:r>
          </w:p>
        </w:tc>
        <w:tc>
          <w:tcPr>
            <w:tcW w:w="1460" w:type="dxa"/>
            <w:vAlign w:val="bottom"/>
            <w:tcBorders>
              <w:bottom w:val="single" w:sz="8" w:color="auto"/>
            </w:tcBorders>
          </w:tcPr>
          <w:p>
            <w:pPr>
              <w:jc w:val="center"/>
              <w:ind w:right="308"/>
              <w:spacing w:after="0" w:line="155" w:lineRule="exact"/>
              <w:rPr>
                <w:sz w:val="20"/>
                <w:szCs w:val="20"/>
                <w:color w:val="auto"/>
              </w:rPr>
            </w:pPr>
            <w:r>
              <w:rPr>
                <w:rFonts w:ascii="Arial" w:cs="Arial" w:eastAsia="Arial" w:hAnsi="Arial"/>
                <w:sz w:val="14"/>
                <w:szCs w:val="14"/>
                <w:color w:val="auto"/>
              </w:rPr>
              <w:t>6,139</w:t>
            </w:r>
          </w:p>
        </w:tc>
        <w:tc>
          <w:tcPr>
            <w:tcW w:w="228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r>
      <w:tr>
        <w:trPr>
          <w:trHeight w:val="156"/>
        </w:trPr>
        <w:tc>
          <w:tcPr>
            <w:tcW w:w="156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Ms. Krominga</w:t>
            </w:r>
          </w:p>
        </w:tc>
        <w:tc>
          <w:tcPr>
            <w:tcW w:w="1740" w:type="dxa"/>
            <w:vAlign w:val="bottom"/>
            <w:tcBorders>
              <w:bottom w:val="single" w:sz="8" w:color="auto"/>
            </w:tcBorders>
            <w:shd w:val="clear" w:color="auto" w:fill="CCCCCC"/>
          </w:tcPr>
          <w:p>
            <w:pPr>
              <w:ind w:left="600"/>
              <w:spacing w:after="0" w:line="155" w:lineRule="exact"/>
              <w:rPr>
                <w:sz w:val="20"/>
                <w:szCs w:val="20"/>
                <w:color w:val="auto"/>
              </w:rPr>
            </w:pPr>
            <w:r>
              <w:rPr>
                <w:rFonts w:ascii="Arial" w:cs="Arial" w:eastAsia="Arial" w:hAnsi="Arial"/>
                <w:sz w:val="14"/>
                <w:szCs w:val="14"/>
                <w:color w:val="auto"/>
              </w:rPr>
              <w:t>15,967</w:t>
            </w:r>
          </w:p>
        </w:tc>
        <w:tc>
          <w:tcPr>
            <w:tcW w:w="1720" w:type="dxa"/>
            <w:vAlign w:val="bottom"/>
            <w:tcBorders>
              <w:bottom w:val="single" w:sz="8" w:color="auto"/>
            </w:tcBorders>
            <w:shd w:val="clear" w:color="auto" w:fill="CCCCCC"/>
          </w:tcPr>
          <w:p>
            <w:pPr>
              <w:ind w:left="580"/>
              <w:spacing w:after="0" w:line="155" w:lineRule="exact"/>
              <w:rPr>
                <w:sz w:val="20"/>
                <w:szCs w:val="20"/>
                <w:color w:val="auto"/>
              </w:rPr>
            </w:pPr>
            <w:r>
              <w:rPr>
                <w:rFonts w:ascii="Arial" w:cs="Arial" w:eastAsia="Arial" w:hAnsi="Arial"/>
                <w:sz w:val="14"/>
                <w:szCs w:val="14"/>
                <w:color w:val="auto"/>
              </w:rPr>
              <w:t>37,939</w:t>
            </w:r>
          </w:p>
        </w:tc>
        <w:tc>
          <w:tcPr>
            <w:tcW w:w="1960" w:type="dxa"/>
            <w:vAlign w:val="bottom"/>
            <w:tcBorders>
              <w:bottom w:val="single" w:sz="8" w:color="auto"/>
            </w:tcBorders>
            <w:shd w:val="clear" w:color="auto" w:fill="CCCCCC"/>
          </w:tcPr>
          <w:p>
            <w:pPr>
              <w:ind w:left="560"/>
              <w:spacing w:after="0" w:line="155" w:lineRule="exact"/>
              <w:rPr>
                <w:sz w:val="20"/>
                <w:szCs w:val="20"/>
                <w:color w:val="auto"/>
              </w:rPr>
            </w:pPr>
            <w:r>
              <w:rPr>
                <w:rFonts w:ascii="Arial" w:cs="Arial" w:eastAsia="Arial" w:hAnsi="Arial"/>
                <w:sz w:val="14"/>
                <w:szCs w:val="14"/>
                <w:color w:val="auto"/>
              </w:rPr>
              <w:t>Mr. Sparks</w:t>
            </w:r>
          </w:p>
        </w:tc>
        <w:tc>
          <w:tcPr>
            <w:tcW w:w="1460" w:type="dxa"/>
            <w:vAlign w:val="bottom"/>
            <w:tcBorders>
              <w:bottom w:val="single" w:sz="8" w:color="auto"/>
            </w:tcBorders>
            <w:shd w:val="clear" w:color="auto" w:fill="CCCCCC"/>
          </w:tcPr>
          <w:p>
            <w:pPr>
              <w:jc w:val="center"/>
              <w:ind w:right="308"/>
              <w:spacing w:after="0" w:line="155" w:lineRule="exact"/>
              <w:rPr>
                <w:sz w:val="20"/>
                <w:szCs w:val="20"/>
                <w:color w:val="auto"/>
              </w:rPr>
            </w:pPr>
            <w:r>
              <w:rPr>
                <w:rFonts w:ascii="Arial" w:cs="Arial" w:eastAsia="Arial" w:hAnsi="Arial"/>
                <w:sz w:val="14"/>
                <w:szCs w:val="14"/>
                <w:color w:val="auto"/>
              </w:rPr>
              <w:t>5,801</w:t>
            </w:r>
          </w:p>
        </w:tc>
        <w:tc>
          <w:tcPr>
            <w:tcW w:w="2280" w:type="dxa"/>
            <w:vAlign w:val="bottom"/>
            <w:tcBorders>
              <w:bottom w:val="single" w:sz="8" w:color="auto"/>
            </w:tcBorders>
            <w:shd w:val="clear" w:color="auto" w:fill="CCCCCC"/>
          </w:tcPr>
          <w:p>
            <w:pPr>
              <w:ind w:left="580"/>
              <w:spacing w:after="0" w:line="155" w:lineRule="exact"/>
              <w:rPr>
                <w:sz w:val="20"/>
                <w:szCs w:val="20"/>
                <w:color w:val="auto"/>
              </w:rPr>
            </w:pPr>
            <w:r>
              <w:rPr>
                <w:rFonts w:ascii="Arial" w:cs="Arial" w:eastAsia="Arial" w:hAnsi="Arial"/>
                <w:sz w:val="14"/>
                <w:szCs w:val="14"/>
                <w:color w:val="auto"/>
              </w:rPr>
              <w:t>—</w:t>
            </w:r>
          </w:p>
        </w:tc>
      </w:tr>
      <w:tr>
        <w:trPr>
          <w:trHeight w:val="163"/>
        </w:trPr>
        <w:tc>
          <w:tcPr>
            <w:tcW w:w="15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Mr. Lurie</w:t>
            </w:r>
          </w:p>
        </w:tc>
        <w:tc>
          <w:tcPr>
            <w:tcW w:w="1740" w:type="dxa"/>
            <w:vAlign w:val="bottom"/>
            <w:tcBorders>
              <w:bottom w:val="single" w:sz="8" w:color="auto"/>
            </w:tcBorders>
          </w:tcPr>
          <w:p>
            <w:pPr>
              <w:ind w:left="600"/>
              <w:spacing w:after="0" w:line="155" w:lineRule="exact"/>
              <w:rPr>
                <w:sz w:val="20"/>
                <w:szCs w:val="20"/>
                <w:color w:val="auto"/>
              </w:rPr>
            </w:pPr>
            <w:r>
              <w:rPr>
                <w:rFonts w:ascii="Arial" w:cs="Arial" w:eastAsia="Arial" w:hAnsi="Arial"/>
                <w:sz w:val="14"/>
                <w:szCs w:val="14"/>
                <w:color w:val="auto"/>
              </w:rPr>
              <w:t>5,531</w:t>
            </w:r>
          </w:p>
        </w:tc>
        <w:tc>
          <w:tcPr>
            <w:tcW w:w="172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ind w:left="560"/>
              <w:spacing w:after="0" w:line="155" w:lineRule="exact"/>
              <w:rPr>
                <w:sz w:val="20"/>
                <w:szCs w:val="20"/>
                <w:color w:val="auto"/>
              </w:rPr>
            </w:pPr>
            <w:r>
              <w:rPr>
                <w:rFonts w:ascii="Arial" w:cs="Arial" w:eastAsia="Arial" w:hAnsi="Arial"/>
                <w:sz w:val="14"/>
                <w:szCs w:val="14"/>
                <w:color w:val="auto"/>
              </w:rPr>
              <w:t>Mr. Viswanathan</w:t>
            </w:r>
          </w:p>
        </w:tc>
        <w:tc>
          <w:tcPr>
            <w:tcW w:w="1460" w:type="dxa"/>
            <w:vAlign w:val="bottom"/>
            <w:tcBorders>
              <w:bottom w:val="single" w:sz="8" w:color="auto"/>
            </w:tcBorders>
          </w:tcPr>
          <w:p>
            <w:pPr>
              <w:jc w:val="center"/>
              <w:ind w:right="308"/>
              <w:spacing w:after="0" w:line="155" w:lineRule="exact"/>
              <w:rPr>
                <w:sz w:val="20"/>
                <w:szCs w:val="20"/>
                <w:color w:val="auto"/>
              </w:rPr>
            </w:pPr>
            <w:r>
              <w:rPr>
                <w:rFonts w:ascii="Arial" w:cs="Arial" w:eastAsia="Arial" w:hAnsi="Arial"/>
                <w:sz w:val="14"/>
                <w:szCs w:val="14"/>
                <w:color w:val="auto"/>
              </w:rPr>
              <w:t>11,521</w:t>
            </w:r>
          </w:p>
        </w:tc>
        <w:tc>
          <w:tcPr>
            <w:tcW w:w="228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r>
    </w:tbl>
    <w:p>
      <w:pPr>
        <w:spacing w:after="0" w:line="167"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Excludes 151,803 Director Deferred Shares.</w:t>
      </w:r>
    </w:p>
    <w:p>
      <w:pPr>
        <w:spacing w:after="0" w:line="163" w:lineRule="exact"/>
        <w:rPr>
          <w:rFonts w:ascii="Arial" w:cs="Arial" w:eastAsia="Arial" w:hAnsi="Arial"/>
          <w:sz w:val="14"/>
          <w:szCs w:val="14"/>
          <w:color w:val="auto"/>
        </w:rPr>
      </w:pPr>
    </w:p>
    <w:p>
      <w:pPr>
        <w:ind w:left="360" w:hanging="352"/>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205,438 Director Shares and 70,812 time-vested restricted stock units that will vest within 60 days of February 28,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Section 16(a) Beneficial Ownership Reporting Compliance</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beneficially own more than ten percent of a registered class of the Company’s equity securities, to file reports of ownership and changes in ownership on Forms 3, 4 and 5 with the SEC. As a practical matter, the Company typically assists its directors and executive officers by monitoring transactions and completing and filing Section 16 reports on their behalf. The Company believes that all filings required to be made under Section 16(a) of the Exchange Act during 2018 were timely made.</w:t>
      </w:r>
    </w:p>
    <w:p>
      <w:pPr>
        <w:spacing w:after="0" w:line="188" w:lineRule="exact"/>
        <w:rPr>
          <w:sz w:val="20"/>
          <w:szCs w:val="20"/>
          <w:color w:val="auto"/>
        </w:rPr>
      </w:pPr>
    </w:p>
    <w:p>
      <w:pPr>
        <w:spacing w:after="0"/>
        <w:rPr>
          <w:sz w:val="20"/>
          <w:szCs w:val="20"/>
          <w:color w:val="auto"/>
        </w:rPr>
      </w:pPr>
      <w:r>
        <w:rPr>
          <w:rFonts w:ascii="Arial" w:cs="Arial" w:eastAsia="Arial" w:hAnsi="Arial"/>
          <w:sz w:val="36"/>
          <w:szCs w:val="36"/>
          <w:color w:val="auto"/>
        </w:rPr>
        <w:t>Executive Officers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present executive officers of the Company are set forth in the table below. Each executive officer is appointed by the Board of Directors to hold office at the discretion of the Board of Directors and may be removed at any time by the Board of Directors with or without cause. In March 2019, the Company announced the resignation of Mark J. Servodidio, President, International, effective June 14, 2019. The role of President, International will be assumed by Keith Rankin, who will join the Company from Barloworld, in South Africa. For further information, please see our Current Report on Form 8-K filed on March 18,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92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Offices or Positions To be Held</w:t>
            </w:r>
          </w:p>
        </w:tc>
      </w:tr>
      <w:tr>
        <w:trPr>
          <w:trHeight w:val="203"/>
        </w:trPr>
        <w:tc>
          <w:tcPr>
            <w:tcW w:w="222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Larry D. De Shon</w:t>
            </w:r>
          </w:p>
        </w:tc>
        <w:tc>
          <w:tcPr>
            <w:tcW w:w="9200" w:type="dxa"/>
            <w:vAlign w:val="bottom"/>
            <w:tcBorders>
              <w:bottom w:val="single" w:sz="8" w:color="auto"/>
            </w:tcBorders>
            <w:shd w:val="clear" w:color="auto" w:fill="CCCCCC"/>
          </w:tcPr>
          <w:p>
            <w:pPr>
              <w:ind w:left="660"/>
              <w:spacing w:after="0" w:line="202" w:lineRule="exact"/>
              <w:rPr>
                <w:sz w:val="20"/>
                <w:szCs w:val="20"/>
                <w:color w:val="auto"/>
              </w:rPr>
            </w:pPr>
            <w:r>
              <w:rPr>
                <w:rFonts w:ascii="Arial" w:cs="Arial" w:eastAsia="Arial" w:hAnsi="Arial"/>
                <w:sz w:val="18"/>
                <w:szCs w:val="18"/>
                <w:color w:val="auto"/>
              </w:rPr>
              <w:t>Chief Executive Officer, President and Chief Operating Officer</w:t>
            </w:r>
          </w:p>
        </w:tc>
      </w:tr>
      <w:tr>
        <w:trPr>
          <w:trHeight w:val="196"/>
        </w:trPr>
        <w:tc>
          <w:tcPr>
            <w:tcW w:w="2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John F. North, III</w:t>
            </w:r>
          </w:p>
        </w:tc>
        <w:tc>
          <w:tcPr>
            <w:tcW w:w="920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rPr>
              <w:t>Executive Vice President and Chief Financial Officer</w:t>
            </w:r>
          </w:p>
        </w:tc>
      </w:tr>
      <w:tr>
        <w:trPr>
          <w:trHeight w:val="196"/>
        </w:trPr>
        <w:tc>
          <w:tcPr>
            <w:tcW w:w="222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Joseph A. Ferraro</w:t>
            </w:r>
          </w:p>
        </w:tc>
        <w:tc>
          <w:tcPr>
            <w:tcW w:w="9200" w:type="dxa"/>
            <w:vAlign w:val="bottom"/>
            <w:tcBorders>
              <w:bottom w:val="single" w:sz="8" w:color="auto"/>
            </w:tcBorders>
            <w:shd w:val="clear" w:color="auto" w:fill="CCCCCC"/>
          </w:tcPr>
          <w:p>
            <w:pPr>
              <w:ind w:left="660"/>
              <w:spacing w:after="0" w:line="196" w:lineRule="exact"/>
              <w:rPr>
                <w:sz w:val="20"/>
                <w:szCs w:val="20"/>
                <w:color w:val="auto"/>
              </w:rPr>
            </w:pPr>
            <w:r>
              <w:rPr>
                <w:rFonts w:ascii="Arial" w:cs="Arial" w:eastAsia="Arial" w:hAnsi="Arial"/>
                <w:sz w:val="18"/>
                <w:szCs w:val="18"/>
                <w:color w:val="auto"/>
              </w:rPr>
              <w:t>President, Americas</w:t>
            </w:r>
          </w:p>
        </w:tc>
      </w:tr>
      <w:tr>
        <w:trPr>
          <w:trHeight w:val="196"/>
        </w:trPr>
        <w:tc>
          <w:tcPr>
            <w:tcW w:w="2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Edward P. Linnen</w:t>
            </w:r>
          </w:p>
        </w:tc>
        <w:tc>
          <w:tcPr>
            <w:tcW w:w="920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rPr>
              <w:t>Executive Vice President, Chief Human Resources Officer</w:t>
            </w:r>
          </w:p>
        </w:tc>
      </w:tr>
      <w:tr>
        <w:trPr>
          <w:trHeight w:val="196"/>
        </w:trPr>
        <w:tc>
          <w:tcPr>
            <w:tcW w:w="222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Mark J. Servodidio</w:t>
            </w:r>
          </w:p>
        </w:tc>
        <w:tc>
          <w:tcPr>
            <w:tcW w:w="9200" w:type="dxa"/>
            <w:vAlign w:val="bottom"/>
            <w:tcBorders>
              <w:bottom w:val="single" w:sz="8" w:color="auto"/>
            </w:tcBorders>
            <w:shd w:val="clear" w:color="auto" w:fill="CCCCCC"/>
          </w:tcPr>
          <w:p>
            <w:pPr>
              <w:ind w:left="660"/>
              <w:spacing w:after="0" w:line="196" w:lineRule="exact"/>
              <w:rPr>
                <w:sz w:val="20"/>
                <w:szCs w:val="20"/>
                <w:color w:val="auto"/>
              </w:rPr>
            </w:pPr>
            <w:r>
              <w:rPr>
                <w:rFonts w:ascii="Arial" w:cs="Arial" w:eastAsia="Arial" w:hAnsi="Arial"/>
                <w:sz w:val="18"/>
                <w:szCs w:val="18"/>
                <w:color w:val="auto"/>
              </w:rPr>
              <w:t>President, International</w:t>
            </w:r>
          </w:p>
        </w:tc>
      </w:tr>
      <w:tr>
        <w:trPr>
          <w:trHeight w:val="196"/>
        </w:trPr>
        <w:tc>
          <w:tcPr>
            <w:tcW w:w="22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Michael K. Tucker</w:t>
            </w:r>
          </w:p>
        </w:tc>
        <w:tc>
          <w:tcPr>
            <w:tcW w:w="920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rPr>
              <w:t>Executive Vice President, General Counsel and Chief Compliance Officer</w:t>
            </w:r>
          </w:p>
        </w:tc>
      </w:tr>
      <w:tr>
        <w:trPr>
          <w:trHeight w:val="203"/>
        </w:trPr>
        <w:tc>
          <w:tcPr>
            <w:tcW w:w="222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David T. Calabria</w:t>
            </w:r>
          </w:p>
        </w:tc>
        <w:tc>
          <w:tcPr>
            <w:tcW w:w="9200" w:type="dxa"/>
            <w:vAlign w:val="bottom"/>
            <w:tcBorders>
              <w:bottom w:val="single" w:sz="8" w:color="auto"/>
            </w:tcBorders>
            <w:shd w:val="clear" w:color="auto" w:fill="CCCCCC"/>
          </w:tcPr>
          <w:p>
            <w:pPr>
              <w:ind w:left="660"/>
              <w:spacing w:after="0" w:line="196" w:lineRule="exact"/>
              <w:rPr>
                <w:sz w:val="20"/>
                <w:szCs w:val="20"/>
                <w:color w:val="auto"/>
              </w:rPr>
            </w:pPr>
            <w:r>
              <w:rPr>
                <w:rFonts w:ascii="Arial" w:cs="Arial" w:eastAsia="Arial" w:hAnsi="Arial"/>
                <w:sz w:val="18"/>
                <w:szCs w:val="18"/>
                <w:color w:val="auto"/>
              </w:rPr>
              <w:t>Senior Vice President and Chief Accounting Officer</w:t>
            </w: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Biographical information for our Chief Executive Officer is set forth above under “Board of Directors-Biographical Information for Nominees.” Biographical information for all other present executive officers is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95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Biographical Information</w:t>
            </w:r>
          </w:p>
        </w:tc>
      </w:tr>
      <w:tr>
        <w:trPr>
          <w:trHeight w:val="195"/>
        </w:trPr>
        <w:tc>
          <w:tcPr>
            <w:tcW w:w="192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John F. North, III</w:t>
            </w:r>
          </w:p>
        </w:tc>
        <w:tc>
          <w:tcPr>
            <w:tcW w:w="9500" w:type="dxa"/>
            <w:vAlign w:val="bottom"/>
            <w:shd w:val="clear" w:color="auto" w:fill="CCCCCC"/>
          </w:tcPr>
          <w:p>
            <w:pPr>
              <w:ind w:left="380"/>
              <w:spacing w:after="0" w:line="195" w:lineRule="exact"/>
              <w:rPr>
                <w:sz w:val="20"/>
                <w:szCs w:val="20"/>
                <w:color w:val="auto"/>
              </w:rPr>
            </w:pPr>
            <w:r>
              <w:rPr>
                <w:rFonts w:ascii="Arial" w:cs="Arial" w:eastAsia="Arial" w:hAnsi="Arial"/>
                <w:sz w:val="18"/>
                <w:szCs w:val="18"/>
                <w:b w:val="1"/>
                <w:bCs w:val="1"/>
                <w:color w:val="auto"/>
              </w:rPr>
              <w:t>Mr. North</w:t>
            </w:r>
            <w:r>
              <w:rPr>
                <w:rFonts w:ascii="Arial" w:cs="Arial" w:eastAsia="Arial" w:hAnsi="Arial"/>
                <w:sz w:val="18"/>
                <w:szCs w:val="18"/>
                <w:color w:val="auto"/>
              </w:rPr>
              <w:t>, age 41, has been Executive Vice President and Chief Financial Officer since March 2019. Prior to</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joining the Company, Mr. North served in leadership roles in finance at Lithia Motors, Inc. beginning in 2002,</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including as Chief Financial Officer from January 2017 to March 2019, as Chief Accounting Officer from January</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2015 to December 2016 and as Vice President, Finance and Corporate Controller from January 2010 to</w:t>
            </w:r>
          </w:p>
        </w:tc>
      </w:tr>
      <w:tr>
        <w:trPr>
          <w:trHeight w:val="203"/>
        </w:trPr>
        <w:tc>
          <w:tcPr>
            <w:tcW w:w="1920" w:type="dxa"/>
            <w:vAlign w:val="bottom"/>
            <w:tcBorders>
              <w:bottom w:val="single" w:sz="8" w:color="auto"/>
            </w:tcBorders>
            <w:shd w:val="clear" w:color="auto" w:fill="CCCCCC"/>
          </w:tcPr>
          <w:p>
            <w:pPr>
              <w:spacing w:after="0"/>
              <w:rPr>
                <w:sz w:val="17"/>
                <w:szCs w:val="17"/>
                <w:color w:val="auto"/>
              </w:rPr>
            </w:pPr>
          </w:p>
        </w:tc>
        <w:tc>
          <w:tcPr>
            <w:tcW w:w="9500" w:type="dxa"/>
            <w:vAlign w:val="bottom"/>
            <w:tcBorders>
              <w:bottom w:val="single" w:sz="8" w:color="auto"/>
            </w:tcBorders>
            <w:shd w:val="clear" w:color="auto" w:fill="CCCCCC"/>
          </w:tcPr>
          <w:p>
            <w:pPr>
              <w:ind w:left="380"/>
              <w:spacing w:after="0" w:line="203" w:lineRule="exact"/>
              <w:rPr>
                <w:sz w:val="20"/>
                <w:szCs w:val="20"/>
                <w:color w:val="auto"/>
              </w:rPr>
            </w:pPr>
            <w:r>
              <w:rPr>
                <w:rFonts w:ascii="Arial" w:cs="Arial" w:eastAsia="Arial" w:hAnsi="Arial"/>
                <w:sz w:val="18"/>
                <w:szCs w:val="18"/>
                <w:color w:val="auto"/>
              </w:rPr>
              <w:t>December 2014. Mr. North is a Certified Public Accountant and a CFA® charterholder.</w:t>
            </w:r>
          </w:p>
        </w:tc>
      </w:tr>
      <w:tr>
        <w:trPr>
          <w:trHeight w:val="195"/>
        </w:trPr>
        <w:tc>
          <w:tcPr>
            <w:tcW w:w="1920" w:type="dxa"/>
            <w:vAlign w:val="bottom"/>
          </w:tcPr>
          <w:p>
            <w:pPr>
              <w:ind w:left="60"/>
              <w:spacing w:after="0" w:line="195" w:lineRule="exact"/>
              <w:rPr>
                <w:sz w:val="20"/>
                <w:szCs w:val="20"/>
                <w:color w:val="auto"/>
              </w:rPr>
            </w:pPr>
            <w:r>
              <w:rPr>
                <w:rFonts w:ascii="Arial" w:cs="Arial" w:eastAsia="Arial" w:hAnsi="Arial"/>
                <w:sz w:val="18"/>
                <w:szCs w:val="18"/>
                <w:color w:val="auto"/>
              </w:rPr>
              <w:t>Joseph A. Ferraro</w:t>
            </w:r>
          </w:p>
        </w:tc>
        <w:tc>
          <w:tcPr>
            <w:tcW w:w="9500" w:type="dxa"/>
            <w:vAlign w:val="bottom"/>
          </w:tcPr>
          <w:p>
            <w:pPr>
              <w:ind w:left="380"/>
              <w:spacing w:after="0" w:line="195" w:lineRule="exact"/>
              <w:rPr>
                <w:sz w:val="20"/>
                <w:szCs w:val="20"/>
                <w:color w:val="auto"/>
              </w:rPr>
            </w:pPr>
            <w:r>
              <w:rPr>
                <w:rFonts w:ascii="Arial" w:cs="Arial" w:eastAsia="Arial" w:hAnsi="Arial"/>
                <w:sz w:val="18"/>
                <w:szCs w:val="18"/>
                <w:b w:val="1"/>
                <w:bCs w:val="1"/>
                <w:color w:val="auto"/>
              </w:rPr>
              <w:t>Mr. Ferraro</w:t>
            </w:r>
            <w:r>
              <w:rPr>
                <w:rFonts w:ascii="Arial" w:cs="Arial" w:eastAsia="Arial" w:hAnsi="Arial"/>
                <w:sz w:val="18"/>
                <w:szCs w:val="18"/>
                <w:color w:val="auto"/>
              </w:rPr>
              <w:t>, age 62, has been President, Americas since January 2015. Previously, Mr. Ferraro held the title of</w:t>
            </w:r>
          </w:p>
        </w:tc>
      </w:tr>
      <w:tr>
        <w:trPr>
          <w:trHeight w:val="203"/>
        </w:trPr>
        <w:tc>
          <w:tcPr>
            <w:tcW w:w="1920" w:type="dxa"/>
            <w:vAlign w:val="bottom"/>
          </w:tcPr>
          <w:p>
            <w:pPr>
              <w:spacing w:after="0"/>
              <w:rPr>
                <w:sz w:val="17"/>
                <w:szCs w:val="17"/>
                <w:color w:val="auto"/>
              </w:rPr>
            </w:pPr>
          </w:p>
        </w:tc>
        <w:tc>
          <w:tcPr>
            <w:tcW w:w="9500" w:type="dxa"/>
            <w:vAlign w:val="bottom"/>
          </w:tcPr>
          <w:p>
            <w:pPr>
              <w:ind w:left="380"/>
              <w:spacing w:after="0" w:line="202" w:lineRule="exact"/>
              <w:rPr>
                <w:sz w:val="20"/>
                <w:szCs w:val="20"/>
                <w:color w:val="auto"/>
              </w:rPr>
            </w:pPr>
            <w:r>
              <w:rPr>
                <w:rFonts w:ascii="Arial" w:cs="Arial" w:eastAsia="Arial" w:hAnsi="Arial"/>
                <w:sz w:val="18"/>
                <w:szCs w:val="18"/>
                <w:color w:val="auto"/>
              </w:rPr>
              <w:t>Senior Vice President, North America Operations from October 2011 to December 2014. Mr. Ferraro joined the</w:t>
            </w:r>
          </w:p>
        </w:tc>
      </w:tr>
      <w:tr>
        <w:trPr>
          <w:trHeight w:val="203"/>
        </w:trPr>
        <w:tc>
          <w:tcPr>
            <w:tcW w:w="1920" w:type="dxa"/>
            <w:vAlign w:val="bottom"/>
          </w:tcPr>
          <w:p>
            <w:pPr>
              <w:spacing w:after="0"/>
              <w:rPr>
                <w:sz w:val="17"/>
                <w:szCs w:val="17"/>
                <w:color w:val="auto"/>
              </w:rPr>
            </w:pPr>
          </w:p>
        </w:tc>
        <w:tc>
          <w:tcPr>
            <w:tcW w:w="9500" w:type="dxa"/>
            <w:vAlign w:val="bottom"/>
          </w:tcPr>
          <w:p>
            <w:pPr>
              <w:ind w:left="380"/>
              <w:spacing w:after="0" w:line="202" w:lineRule="exact"/>
              <w:rPr>
                <w:sz w:val="20"/>
                <w:szCs w:val="20"/>
                <w:color w:val="auto"/>
              </w:rPr>
            </w:pPr>
            <w:r>
              <w:rPr>
                <w:rFonts w:ascii="Arial" w:cs="Arial" w:eastAsia="Arial" w:hAnsi="Arial"/>
                <w:sz w:val="18"/>
                <w:szCs w:val="18"/>
                <w:color w:val="auto"/>
              </w:rPr>
              <w:t>Company in 1979, and served in various positions of increasing responsibility in the Company’s North American</w:t>
            </w:r>
          </w:p>
        </w:tc>
      </w:tr>
      <w:tr>
        <w:trPr>
          <w:trHeight w:val="203"/>
        </w:trPr>
        <w:tc>
          <w:tcPr>
            <w:tcW w:w="19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operations.</w:t>
            </w:r>
          </w:p>
        </w:tc>
      </w:tr>
      <w:tr>
        <w:trPr>
          <w:trHeight w:val="195"/>
        </w:trPr>
        <w:tc>
          <w:tcPr>
            <w:tcW w:w="192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color w:val="auto"/>
              </w:rPr>
              <w:t>Edward P. Linnen</w:t>
            </w:r>
          </w:p>
        </w:tc>
        <w:tc>
          <w:tcPr>
            <w:tcW w:w="9500" w:type="dxa"/>
            <w:vAlign w:val="bottom"/>
            <w:shd w:val="clear" w:color="auto" w:fill="CCCCCC"/>
          </w:tcPr>
          <w:p>
            <w:pPr>
              <w:ind w:left="380"/>
              <w:spacing w:after="0" w:line="195" w:lineRule="exact"/>
              <w:rPr>
                <w:sz w:val="20"/>
                <w:szCs w:val="20"/>
                <w:color w:val="auto"/>
              </w:rPr>
            </w:pPr>
            <w:r>
              <w:rPr>
                <w:rFonts w:ascii="Arial" w:cs="Arial" w:eastAsia="Arial" w:hAnsi="Arial"/>
                <w:sz w:val="18"/>
                <w:szCs w:val="18"/>
                <w:b w:val="1"/>
                <w:bCs w:val="1"/>
                <w:color w:val="auto"/>
              </w:rPr>
              <w:t>Mr. Linnen</w:t>
            </w:r>
            <w:r>
              <w:rPr>
                <w:rFonts w:ascii="Arial" w:cs="Arial" w:eastAsia="Arial" w:hAnsi="Arial"/>
                <w:sz w:val="18"/>
                <w:szCs w:val="18"/>
                <w:color w:val="auto"/>
              </w:rPr>
              <w:t>, age 49, has been Executive Vice President, Chief Human Resources Officer since January 2015.</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Previously, Mr. Linnen held the title of Senior Vice President, Chief Human Resources Officer from February 2013</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until January 2015, and Senior Vice President, Human Resources for North America from October 2011 to</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February 2013. Mr. Linnen joined the Company in 2001, and served in several positions in the Company’s human</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resources function, including as Vice President, Labor Relations &amp; International Human Resources, Vice</w:t>
            </w:r>
          </w:p>
        </w:tc>
      </w:tr>
      <w:tr>
        <w:trPr>
          <w:trHeight w:val="203"/>
        </w:trPr>
        <w:tc>
          <w:tcPr>
            <w:tcW w:w="1920" w:type="dxa"/>
            <w:vAlign w:val="bottom"/>
            <w:shd w:val="clear" w:color="auto" w:fill="CCCCCC"/>
          </w:tcPr>
          <w:p>
            <w:pPr>
              <w:spacing w:after="0"/>
              <w:rPr>
                <w:sz w:val="17"/>
                <w:szCs w:val="17"/>
                <w:color w:val="auto"/>
              </w:rPr>
            </w:pPr>
          </w:p>
        </w:tc>
        <w:tc>
          <w:tcPr>
            <w:tcW w:w="95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President, Domestic Human Resources, and Field Human Resources Director. Prior to joining the Company, Mr.</w:t>
            </w:r>
          </w:p>
        </w:tc>
      </w:tr>
      <w:tr>
        <w:trPr>
          <w:trHeight w:val="203"/>
        </w:trPr>
        <w:tc>
          <w:tcPr>
            <w:tcW w:w="1920" w:type="dxa"/>
            <w:vAlign w:val="bottom"/>
            <w:tcBorders>
              <w:bottom w:val="single" w:sz="8" w:color="auto"/>
            </w:tcBorders>
            <w:shd w:val="clear" w:color="auto" w:fill="CCCCCC"/>
          </w:tcPr>
          <w:p>
            <w:pPr>
              <w:spacing w:after="0"/>
              <w:rPr>
                <w:sz w:val="17"/>
                <w:szCs w:val="17"/>
                <w:color w:val="auto"/>
              </w:rPr>
            </w:pPr>
          </w:p>
        </w:tc>
        <w:tc>
          <w:tcPr>
            <w:tcW w:w="9500" w:type="dxa"/>
            <w:vAlign w:val="bottom"/>
            <w:tcBorders>
              <w:bottom w:val="single" w:sz="8" w:color="auto"/>
            </w:tcBorders>
            <w:shd w:val="clear" w:color="auto" w:fill="CCCCCC"/>
          </w:tcPr>
          <w:p>
            <w:pPr>
              <w:ind w:left="380"/>
              <w:spacing w:after="0" w:line="203" w:lineRule="exact"/>
              <w:rPr>
                <w:sz w:val="20"/>
                <w:szCs w:val="20"/>
                <w:color w:val="auto"/>
              </w:rPr>
            </w:pPr>
            <w:r>
              <w:rPr>
                <w:rFonts w:ascii="Arial" w:cs="Arial" w:eastAsia="Arial" w:hAnsi="Arial"/>
                <w:sz w:val="18"/>
                <w:szCs w:val="18"/>
                <w:color w:val="auto"/>
              </w:rPr>
              <w:t>Linnen served in various positions within human resources at Kraft Foods Inc. and Nabisco, Inc.</w:t>
            </w:r>
          </w:p>
        </w:tc>
      </w:tr>
      <w:tr>
        <w:trPr>
          <w:trHeight w:val="195"/>
        </w:trPr>
        <w:tc>
          <w:tcPr>
            <w:tcW w:w="1920" w:type="dxa"/>
            <w:vAlign w:val="bottom"/>
          </w:tcPr>
          <w:p>
            <w:pPr>
              <w:ind w:left="60"/>
              <w:spacing w:after="0" w:line="195" w:lineRule="exact"/>
              <w:rPr>
                <w:sz w:val="20"/>
                <w:szCs w:val="20"/>
                <w:color w:val="auto"/>
              </w:rPr>
            </w:pPr>
            <w:r>
              <w:rPr>
                <w:rFonts w:ascii="Arial" w:cs="Arial" w:eastAsia="Arial" w:hAnsi="Arial"/>
                <w:sz w:val="18"/>
                <w:szCs w:val="18"/>
                <w:color w:val="auto"/>
              </w:rPr>
              <w:t>Mark J. Servodidio</w:t>
            </w:r>
          </w:p>
        </w:tc>
        <w:tc>
          <w:tcPr>
            <w:tcW w:w="9500" w:type="dxa"/>
            <w:vAlign w:val="bottom"/>
          </w:tcPr>
          <w:p>
            <w:pPr>
              <w:ind w:left="380"/>
              <w:spacing w:after="0" w:line="195" w:lineRule="exact"/>
              <w:rPr>
                <w:sz w:val="20"/>
                <w:szCs w:val="20"/>
                <w:color w:val="auto"/>
              </w:rPr>
            </w:pPr>
            <w:r>
              <w:rPr>
                <w:rFonts w:ascii="Arial" w:cs="Arial" w:eastAsia="Arial" w:hAnsi="Arial"/>
                <w:sz w:val="18"/>
                <w:szCs w:val="18"/>
                <w:b w:val="1"/>
                <w:bCs w:val="1"/>
                <w:color w:val="auto"/>
              </w:rPr>
              <w:t>Mr. Servodidio</w:t>
            </w:r>
            <w:r>
              <w:rPr>
                <w:rFonts w:ascii="Arial" w:cs="Arial" w:eastAsia="Arial" w:hAnsi="Arial"/>
                <w:sz w:val="18"/>
                <w:szCs w:val="18"/>
                <w:color w:val="auto"/>
              </w:rPr>
              <w:t>, age 53, has been President, International since October 2015. Previously, Mr. Servodidio held</w:t>
            </w:r>
          </w:p>
        </w:tc>
      </w:tr>
      <w:tr>
        <w:trPr>
          <w:trHeight w:val="203"/>
        </w:trPr>
        <w:tc>
          <w:tcPr>
            <w:tcW w:w="1920" w:type="dxa"/>
            <w:vAlign w:val="bottom"/>
          </w:tcPr>
          <w:p>
            <w:pPr>
              <w:spacing w:after="0"/>
              <w:rPr>
                <w:sz w:val="17"/>
                <w:szCs w:val="17"/>
                <w:color w:val="auto"/>
              </w:rPr>
            </w:pPr>
          </w:p>
        </w:tc>
        <w:tc>
          <w:tcPr>
            <w:tcW w:w="9500" w:type="dxa"/>
            <w:vAlign w:val="bottom"/>
          </w:tcPr>
          <w:p>
            <w:pPr>
              <w:ind w:left="380"/>
              <w:spacing w:after="0" w:line="202" w:lineRule="exact"/>
              <w:rPr>
                <w:sz w:val="20"/>
                <w:szCs w:val="20"/>
                <w:color w:val="auto"/>
              </w:rPr>
            </w:pPr>
            <w:r>
              <w:rPr>
                <w:rFonts w:ascii="Arial" w:cs="Arial" w:eastAsia="Arial" w:hAnsi="Arial"/>
                <w:sz w:val="18"/>
                <w:szCs w:val="18"/>
                <w:color w:val="auto"/>
              </w:rPr>
              <w:t>several positions with the Company, including Managing Director, Europe, Executive Vice President for Franchise</w:t>
            </w:r>
          </w:p>
        </w:tc>
      </w:tr>
      <w:tr>
        <w:trPr>
          <w:trHeight w:val="203"/>
        </w:trPr>
        <w:tc>
          <w:tcPr>
            <w:tcW w:w="1920" w:type="dxa"/>
            <w:vAlign w:val="bottom"/>
          </w:tcPr>
          <w:p>
            <w:pPr>
              <w:spacing w:after="0"/>
              <w:rPr>
                <w:sz w:val="17"/>
                <w:szCs w:val="17"/>
                <w:color w:val="auto"/>
              </w:rPr>
            </w:pPr>
          </w:p>
        </w:tc>
        <w:tc>
          <w:tcPr>
            <w:tcW w:w="9500" w:type="dxa"/>
            <w:vAlign w:val="bottom"/>
          </w:tcPr>
          <w:p>
            <w:pPr>
              <w:ind w:left="380"/>
              <w:spacing w:after="0" w:line="202" w:lineRule="exact"/>
              <w:rPr>
                <w:sz w:val="20"/>
                <w:szCs w:val="20"/>
                <w:color w:val="auto"/>
              </w:rPr>
            </w:pPr>
            <w:r>
              <w:rPr>
                <w:rFonts w:ascii="Arial" w:cs="Arial" w:eastAsia="Arial" w:hAnsi="Arial"/>
                <w:sz w:val="18"/>
                <w:szCs w:val="18"/>
                <w:color w:val="auto"/>
              </w:rPr>
              <w:t>and Corporate Services, Europe, Middle East and Africa, Executive Vice President and Chief Administrative</w:t>
            </w:r>
          </w:p>
        </w:tc>
      </w:tr>
      <w:tr>
        <w:trPr>
          <w:trHeight w:val="203"/>
        </w:trPr>
        <w:tc>
          <w:tcPr>
            <w:tcW w:w="1920" w:type="dxa"/>
            <w:vAlign w:val="bottom"/>
          </w:tcPr>
          <w:p>
            <w:pPr>
              <w:spacing w:after="0"/>
              <w:rPr>
                <w:sz w:val="17"/>
                <w:szCs w:val="17"/>
                <w:color w:val="auto"/>
              </w:rPr>
            </w:pPr>
          </w:p>
        </w:tc>
        <w:tc>
          <w:tcPr>
            <w:tcW w:w="9500" w:type="dxa"/>
            <w:vAlign w:val="bottom"/>
          </w:tcPr>
          <w:p>
            <w:pPr>
              <w:ind w:left="380"/>
              <w:spacing w:after="0" w:line="202" w:lineRule="exact"/>
              <w:rPr>
                <w:sz w:val="20"/>
                <w:szCs w:val="20"/>
                <w:color w:val="auto"/>
              </w:rPr>
            </w:pPr>
            <w:r>
              <w:rPr>
                <w:rFonts w:ascii="Arial" w:cs="Arial" w:eastAsia="Arial" w:hAnsi="Arial"/>
                <w:sz w:val="18"/>
                <w:szCs w:val="18"/>
                <w:color w:val="auto"/>
              </w:rPr>
              <w:t>Officer, Executive Vice President, Chief Human Resource Officer, and Executive Vice President, Human</w:t>
            </w:r>
          </w:p>
        </w:tc>
      </w:tr>
      <w:tr>
        <w:trPr>
          <w:trHeight w:val="203"/>
        </w:trPr>
        <w:tc>
          <w:tcPr>
            <w:tcW w:w="1920" w:type="dxa"/>
            <w:vAlign w:val="bottom"/>
          </w:tcPr>
          <w:p>
            <w:pPr>
              <w:spacing w:after="0"/>
              <w:rPr>
                <w:sz w:val="17"/>
                <w:szCs w:val="17"/>
                <w:color w:val="auto"/>
              </w:rPr>
            </w:pPr>
          </w:p>
        </w:tc>
        <w:tc>
          <w:tcPr>
            <w:tcW w:w="9500" w:type="dxa"/>
            <w:vAlign w:val="bottom"/>
          </w:tcPr>
          <w:p>
            <w:pPr>
              <w:ind w:left="380"/>
              <w:spacing w:after="0" w:line="202" w:lineRule="exact"/>
              <w:rPr>
                <w:sz w:val="20"/>
                <w:szCs w:val="20"/>
                <w:color w:val="auto"/>
              </w:rPr>
            </w:pPr>
            <w:r>
              <w:rPr>
                <w:rFonts w:ascii="Arial" w:cs="Arial" w:eastAsia="Arial" w:hAnsi="Arial"/>
                <w:sz w:val="18"/>
                <w:szCs w:val="18"/>
                <w:color w:val="auto"/>
              </w:rPr>
              <w:t>Resources. Mr. Servodidio joined Avis in April 2001 as Senior Vice President, Human Resources. Prior to joining</w:t>
            </w:r>
          </w:p>
        </w:tc>
      </w:tr>
      <w:tr>
        <w:trPr>
          <w:trHeight w:val="203"/>
        </w:trPr>
        <w:tc>
          <w:tcPr>
            <w:tcW w:w="1920" w:type="dxa"/>
            <w:vAlign w:val="bottom"/>
          </w:tcPr>
          <w:p>
            <w:pPr>
              <w:spacing w:after="0"/>
              <w:rPr>
                <w:sz w:val="17"/>
                <w:szCs w:val="17"/>
                <w:color w:val="auto"/>
              </w:rPr>
            </w:pPr>
          </w:p>
        </w:tc>
        <w:tc>
          <w:tcPr>
            <w:tcW w:w="9500" w:type="dxa"/>
            <w:vAlign w:val="bottom"/>
          </w:tcPr>
          <w:p>
            <w:pPr>
              <w:ind w:left="380"/>
              <w:spacing w:after="0" w:line="202" w:lineRule="exact"/>
              <w:rPr>
                <w:sz w:val="20"/>
                <w:szCs w:val="20"/>
                <w:color w:val="auto"/>
              </w:rPr>
            </w:pPr>
            <w:r>
              <w:rPr>
                <w:rFonts w:ascii="Arial" w:cs="Arial" w:eastAsia="Arial" w:hAnsi="Arial"/>
                <w:sz w:val="18"/>
                <w:szCs w:val="18"/>
                <w:color w:val="auto"/>
              </w:rPr>
              <w:t>Avis, Mr. Servodidio was with Kraft Foods, Inc. (formerly Nabisco). Prior thereto, he served in various leadership</w:t>
            </w:r>
          </w:p>
        </w:tc>
      </w:tr>
      <w:tr>
        <w:trPr>
          <w:trHeight w:val="203"/>
        </w:trPr>
        <w:tc>
          <w:tcPr>
            <w:tcW w:w="19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roles at PepsiCo, Inc.</w:t>
            </w:r>
          </w:p>
        </w:tc>
      </w:tr>
      <w:tr>
        <w:trPr>
          <w:trHeight w:val="385"/>
        </w:trPr>
        <w:tc>
          <w:tcPr>
            <w:tcW w:w="1920" w:type="dxa"/>
            <w:vAlign w:val="bottom"/>
          </w:tcPr>
          <w:p>
            <w:pPr>
              <w:spacing w:after="0"/>
              <w:rPr>
                <w:sz w:val="24"/>
                <w:szCs w:val="24"/>
                <w:color w:val="auto"/>
              </w:rPr>
            </w:pPr>
          </w:p>
        </w:tc>
        <w:tc>
          <w:tcPr>
            <w:tcW w:w="9500" w:type="dxa"/>
            <w:vAlign w:val="bottom"/>
          </w:tcPr>
          <w:p>
            <w:pPr>
              <w:ind w:left="3700"/>
              <w:spacing w:after="0"/>
              <w:rPr>
                <w:sz w:val="20"/>
                <w:szCs w:val="20"/>
                <w:color w:val="auto"/>
              </w:rPr>
            </w:pPr>
            <w:r>
              <w:rPr>
                <w:rFonts w:ascii="Arial" w:cs="Arial" w:eastAsia="Arial" w:hAnsi="Arial"/>
                <w:sz w:val="18"/>
                <w:szCs w:val="18"/>
                <w:color w:val="auto"/>
              </w:rPr>
              <w:t>21</w:t>
            </w:r>
          </w:p>
        </w:tc>
      </w:tr>
      <w:tr>
        <w:trPr>
          <w:trHeight w:val="237"/>
        </w:trPr>
        <w:tc>
          <w:tcPr>
            <w:tcW w:w="1920" w:type="dxa"/>
            <w:vAlign w:val="bottom"/>
            <w:tcBorders>
              <w:bottom w:val="single" w:sz="8" w:color="C0C0C0"/>
            </w:tcBorders>
          </w:tcPr>
          <w:p>
            <w:pPr>
              <w:spacing w:after="0"/>
              <w:rPr>
                <w:sz w:val="20"/>
                <w:szCs w:val="20"/>
                <w:color w:val="auto"/>
              </w:rPr>
            </w:pPr>
          </w:p>
        </w:tc>
        <w:tc>
          <w:tcPr>
            <w:tcW w:w="95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4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00" w:type="dxa"/>
            <w:vAlign w:val="bottom"/>
            <w:tcBorders>
              <w:top w:val="single" w:sz="8" w:color="auto"/>
            </w:tcBorders>
            <w:shd w:val="clear" w:color="auto" w:fill="CCCCCC"/>
          </w:tcPr>
          <w:p>
            <w:pPr>
              <w:ind w:left="60"/>
              <w:spacing w:after="0"/>
              <w:rPr>
                <w:sz w:val="20"/>
                <w:szCs w:val="20"/>
                <w:color w:val="auto"/>
              </w:rPr>
            </w:pPr>
            <w:r>
              <w:rPr>
                <w:rFonts w:ascii="Arial" w:cs="Arial" w:eastAsia="Arial" w:hAnsi="Arial"/>
                <w:sz w:val="18"/>
                <w:szCs w:val="18"/>
                <w:color w:val="auto"/>
              </w:rPr>
              <w:t>Michael K. Tucker</w:t>
            </w:r>
          </w:p>
        </w:tc>
        <w:tc>
          <w:tcPr>
            <w:tcW w:w="9520" w:type="dxa"/>
            <w:vAlign w:val="bottom"/>
            <w:tcBorders>
              <w:top w:val="single" w:sz="8" w:color="auto"/>
            </w:tcBorders>
            <w:shd w:val="clear" w:color="auto" w:fill="CCCCCC"/>
          </w:tcPr>
          <w:p>
            <w:pPr>
              <w:ind w:left="400"/>
              <w:spacing w:after="0"/>
              <w:rPr>
                <w:sz w:val="20"/>
                <w:szCs w:val="20"/>
                <w:color w:val="auto"/>
              </w:rPr>
            </w:pPr>
            <w:r>
              <w:rPr>
                <w:rFonts w:ascii="Arial" w:cs="Arial" w:eastAsia="Arial" w:hAnsi="Arial"/>
                <w:sz w:val="18"/>
                <w:szCs w:val="18"/>
                <w:b w:val="1"/>
                <w:bCs w:val="1"/>
                <w:color w:val="auto"/>
              </w:rPr>
              <w:t>Mr. Tucker</w:t>
            </w:r>
            <w:r>
              <w:rPr>
                <w:rFonts w:ascii="Arial" w:cs="Arial" w:eastAsia="Arial" w:hAnsi="Arial"/>
                <w:sz w:val="18"/>
                <w:szCs w:val="18"/>
                <w:color w:val="auto"/>
              </w:rPr>
              <w:t>, age 61, has been Executive Vice President, General Counsel and Chief Compliance Officer since</w:t>
            </w:r>
          </w:p>
        </w:tc>
      </w:tr>
      <w:tr>
        <w:trPr>
          <w:trHeight w:val="203"/>
        </w:trPr>
        <w:tc>
          <w:tcPr>
            <w:tcW w:w="1900" w:type="dxa"/>
            <w:vAlign w:val="bottom"/>
            <w:shd w:val="clear" w:color="auto" w:fill="CCCCCC"/>
          </w:tcPr>
          <w:p>
            <w:pPr>
              <w:spacing w:after="0"/>
              <w:rPr>
                <w:sz w:val="17"/>
                <w:szCs w:val="17"/>
                <w:color w:val="auto"/>
              </w:rPr>
            </w:pPr>
          </w:p>
        </w:tc>
        <w:tc>
          <w:tcPr>
            <w:tcW w:w="952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April 2010. Prior to joining the Company, Mr. Tucker was in private practice, serving as managing partner at the</w:t>
            </w:r>
          </w:p>
        </w:tc>
      </w:tr>
      <w:tr>
        <w:trPr>
          <w:trHeight w:val="203"/>
        </w:trPr>
        <w:tc>
          <w:tcPr>
            <w:tcW w:w="1900" w:type="dxa"/>
            <w:vAlign w:val="bottom"/>
            <w:shd w:val="clear" w:color="auto" w:fill="CCCCCC"/>
          </w:tcPr>
          <w:p>
            <w:pPr>
              <w:spacing w:after="0"/>
              <w:rPr>
                <w:sz w:val="17"/>
                <w:szCs w:val="17"/>
                <w:color w:val="auto"/>
              </w:rPr>
            </w:pPr>
          </w:p>
        </w:tc>
        <w:tc>
          <w:tcPr>
            <w:tcW w:w="952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law firm of Tucker Associates and Of Counsel at the law firm of Lowe &amp; Savage from 2007. Prior thereto, Mr.</w:t>
            </w:r>
          </w:p>
        </w:tc>
      </w:tr>
      <w:tr>
        <w:trPr>
          <w:trHeight w:val="203"/>
        </w:trPr>
        <w:tc>
          <w:tcPr>
            <w:tcW w:w="1900" w:type="dxa"/>
            <w:vAlign w:val="bottom"/>
            <w:shd w:val="clear" w:color="auto" w:fill="CCCCCC"/>
          </w:tcPr>
          <w:p>
            <w:pPr>
              <w:spacing w:after="0"/>
              <w:rPr>
                <w:sz w:val="17"/>
                <w:szCs w:val="17"/>
                <w:color w:val="auto"/>
              </w:rPr>
            </w:pPr>
          </w:p>
        </w:tc>
        <w:tc>
          <w:tcPr>
            <w:tcW w:w="952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Tucker was Division General Counsel with Tyco International Ltd. from 2005. Prior to joining Tyco, Mr. Tucker</w:t>
            </w:r>
          </w:p>
        </w:tc>
      </w:tr>
      <w:tr>
        <w:trPr>
          <w:trHeight w:val="203"/>
        </w:trPr>
        <w:tc>
          <w:tcPr>
            <w:tcW w:w="1900" w:type="dxa"/>
            <w:vAlign w:val="bottom"/>
            <w:shd w:val="clear" w:color="auto" w:fill="CCCCCC"/>
          </w:tcPr>
          <w:p>
            <w:pPr>
              <w:spacing w:after="0"/>
              <w:rPr>
                <w:sz w:val="17"/>
                <w:szCs w:val="17"/>
                <w:color w:val="auto"/>
              </w:rPr>
            </w:pPr>
          </w:p>
        </w:tc>
        <w:tc>
          <w:tcPr>
            <w:tcW w:w="952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served in senior legal positions with General Electric Company, including division senior counsel of GE</w:t>
            </w:r>
          </w:p>
        </w:tc>
      </w:tr>
      <w:tr>
        <w:trPr>
          <w:trHeight w:val="203"/>
        </w:trPr>
        <w:tc>
          <w:tcPr>
            <w:tcW w:w="1900" w:type="dxa"/>
            <w:vAlign w:val="bottom"/>
            <w:shd w:val="clear" w:color="auto" w:fill="CCCCCC"/>
          </w:tcPr>
          <w:p>
            <w:pPr>
              <w:spacing w:after="0"/>
              <w:rPr>
                <w:sz w:val="17"/>
                <w:szCs w:val="17"/>
                <w:color w:val="auto"/>
              </w:rPr>
            </w:pPr>
          </w:p>
        </w:tc>
        <w:tc>
          <w:tcPr>
            <w:tcW w:w="952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Transportation and senior vice president and general counsel of GE Capital International Services. Prior to joining</w:t>
            </w:r>
          </w:p>
        </w:tc>
      </w:tr>
      <w:tr>
        <w:trPr>
          <w:trHeight w:val="203"/>
        </w:trPr>
        <w:tc>
          <w:tcPr>
            <w:tcW w:w="1900" w:type="dxa"/>
            <w:vAlign w:val="bottom"/>
            <w:shd w:val="clear" w:color="auto" w:fill="CCCCCC"/>
          </w:tcPr>
          <w:p>
            <w:pPr>
              <w:spacing w:after="0"/>
              <w:rPr>
                <w:sz w:val="17"/>
                <w:szCs w:val="17"/>
                <w:color w:val="auto"/>
              </w:rPr>
            </w:pPr>
          </w:p>
        </w:tc>
        <w:tc>
          <w:tcPr>
            <w:tcW w:w="9520" w:type="dxa"/>
            <w:vAlign w:val="bottom"/>
            <w:shd w:val="clear" w:color="auto" w:fill="CCCCCC"/>
          </w:tcPr>
          <w:p>
            <w:pPr>
              <w:ind w:left="400"/>
              <w:spacing w:after="0" w:line="202" w:lineRule="exact"/>
              <w:rPr>
                <w:sz w:val="20"/>
                <w:szCs w:val="20"/>
                <w:color w:val="auto"/>
              </w:rPr>
            </w:pPr>
            <w:r>
              <w:rPr>
                <w:rFonts w:ascii="Arial" w:cs="Arial" w:eastAsia="Arial" w:hAnsi="Arial"/>
                <w:sz w:val="18"/>
                <w:szCs w:val="18"/>
                <w:color w:val="auto"/>
              </w:rPr>
              <w:t>General Electric, Mr. Tucker was associated with the law firms of Ballard Spahr Andrews &amp; Ingersoll, Bingham</w:t>
            </w:r>
          </w:p>
        </w:tc>
      </w:tr>
      <w:tr>
        <w:trPr>
          <w:trHeight w:val="203"/>
        </w:trPr>
        <w:tc>
          <w:tcPr>
            <w:tcW w:w="1900" w:type="dxa"/>
            <w:vAlign w:val="bottom"/>
            <w:tcBorders>
              <w:bottom w:val="single" w:sz="8" w:color="auto"/>
            </w:tcBorders>
            <w:shd w:val="clear" w:color="auto" w:fill="CCCCCC"/>
          </w:tcPr>
          <w:p>
            <w:pPr>
              <w:spacing w:after="0"/>
              <w:rPr>
                <w:sz w:val="17"/>
                <w:szCs w:val="17"/>
                <w:color w:val="auto"/>
              </w:rPr>
            </w:pPr>
          </w:p>
        </w:tc>
        <w:tc>
          <w:tcPr>
            <w:tcW w:w="9520" w:type="dxa"/>
            <w:vAlign w:val="bottom"/>
            <w:tcBorders>
              <w:bottom w:val="single" w:sz="8" w:color="auto"/>
            </w:tcBorders>
            <w:shd w:val="clear" w:color="auto" w:fill="CCCCCC"/>
          </w:tcPr>
          <w:p>
            <w:pPr>
              <w:ind w:left="400"/>
              <w:spacing w:after="0" w:line="203" w:lineRule="exact"/>
              <w:rPr>
                <w:sz w:val="20"/>
                <w:szCs w:val="20"/>
                <w:color w:val="auto"/>
              </w:rPr>
            </w:pPr>
            <w:r>
              <w:rPr>
                <w:rFonts w:ascii="Arial" w:cs="Arial" w:eastAsia="Arial" w:hAnsi="Arial"/>
                <w:sz w:val="18"/>
                <w:szCs w:val="18"/>
                <w:color w:val="auto"/>
              </w:rPr>
              <w:t>Dana LLP, and Csaplar &amp; Bok.</w:t>
            </w:r>
          </w:p>
        </w:tc>
      </w:tr>
      <w:tr>
        <w:trPr>
          <w:trHeight w:val="195"/>
        </w:trPr>
        <w:tc>
          <w:tcPr>
            <w:tcW w:w="1900" w:type="dxa"/>
            <w:vAlign w:val="bottom"/>
          </w:tcPr>
          <w:p>
            <w:pPr>
              <w:ind w:left="60"/>
              <w:spacing w:after="0" w:line="195" w:lineRule="exact"/>
              <w:rPr>
                <w:sz w:val="20"/>
                <w:szCs w:val="20"/>
                <w:color w:val="auto"/>
              </w:rPr>
            </w:pPr>
            <w:r>
              <w:rPr>
                <w:rFonts w:ascii="Arial" w:cs="Arial" w:eastAsia="Arial" w:hAnsi="Arial"/>
                <w:sz w:val="18"/>
                <w:szCs w:val="18"/>
                <w:color w:val="auto"/>
              </w:rPr>
              <w:t>David T. Calabria</w:t>
            </w:r>
          </w:p>
        </w:tc>
        <w:tc>
          <w:tcPr>
            <w:tcW w:w="9520" w:type="dxa"/>
            <w:vAlign w:val="bottom"/>
          </w:tcPr>
          <w:p>
            <w:pPr>
              <w:ind w:left="400"/>
              <w:spacing w:after="0" w:line="195" w:lineRule="exact"/>
              <w:rPr>
                <w:sz w:val="20"/>
                <w:szCs w:val="20"/>
                <w:color w:val="auto"/>
              </w:rPr>
            </w:pPr>
            <w:r>
              <w:rPr>
                <w:rFonts w:ascii="Arial" w:cs="Arial" w:eastAsia="Arial" w:hAnsi="Arial"/>
                <w:sz w:val="18"/>
                <w:szCs w:val="18"/>
                <w:b w:val="1"/>
                <w:bCs w:val="1"/>
                <w:color w:val="auto"/>
              </w:rPr>
              <w:t>Mr. Calabria</w:t>
            </w:r>
            <w:r>
              <w:rPr>
                <w:rFonts w:ascii="Arial" w:cs="Arial" w:eastAsia="Arial" w:hAnsi="Arial"/>
                <w:sz w:val="18"/>
                <w:szCs w:val="18"/>
                <w:color w:val="auto"/>
              </w:rPr>
              <w:t>, age 44, has been Senior Vice President and Chief Accounting Officer since September 2015.</w:t>
            </w:r>
          </w:p>
        </w:tc>
      </w:tr>
      <w:tr>
        <w:trPr>
          <w:trHeight w:val="203"/>
        </w:trPr>
        <w:tc>
          <w:tcPr>
            <w:tcW w:w="1900" w:type="dxa"/>
            <w:vAlign w:val="bottom"/>
          </w:tcPr>
          <w:p>
            <w:pPr>
              <w:spacing w:after="0"/>
              <w:rPr>
                <w:sz w:val="17"/>
                <w:szCs w:val="17"/>
                <w:color w:val="auto"/>
              </w:rPr>
            </w:pPr>
          </w:p>
        </w:tc>
        <w:tc>
          <w:tcPr>
            <w:tcW w:w="9520" w:type="dxa"/>
            <w:vAlign w:val="bottom"/>
          </w:tcPr>
          <w:p>
            <w:pPr>
              <w:ind w:left="400"/>
              <w:spacing w:after="0" w:line="202" w:lineRule="exact"/>
              <w:rPr>
                <w:sz w:val="20"/>
                <w:szCs w:val="20"/>
                <w:color w:val="auto"/>
              </w:rPr>
            </w:pPr>
            <w:r>
              <w:rPr>
                <w:rFonts w:ascii="Arial" w:cs="Arial" w:eastAsia="Arial" w:hAnsi="Arial"/>
                <w:sz w:val="18"/>
                <w:szCs w:val="18"/>
                <w:color w:val="auto"/>
              </w:rPr>
              <w:t>Previously, Mr. Calabria held the title of Vice President and Chief Accounting Officer of the Company from May</w:t>
            </w:r>
          </w:p>
        </w:tc>
      </w:tr>
      <w:tr>
        <w:trPr>
          <w:trHeight w:val="203"/>
        </w:trPr>
        <w:tc>
          <w:tcPr>
            <w:tcW w:w="1900" w:type="dxa"/>
            <w:vAlign w:val="bottom"/>
          </w:tcPr>
          <w:p>
            <w:pPr>
              <w:spacing w:after="0"/>
              <w:rPr>
                <w:sz w:val="17"/>
                <w:szCs w:val="17"/>
                <w:color w:val="auto"/>
              </w:rPr>
            </w:pPr>
          </w:p>
        </w:tc>
        <w:tc>
          <w:tcPr>
            <w:tcW w:w="9520" w:type="dxa"/>
            <w:vAlign w:val="bottom"/>
          </w:tcPr>
          <w:p>
            <w:pPr>
              <w:ind w:left="400"/>
              <w:spacing w:after="0" w:line="202" w:lineRule="exact"/>
              <w:rPr>
                <w:sz w:val="20"/>
                <w:szCs w:val="20"/>
                <w:color w:val="auto"/>
              </w:rPr>
            </w:pPr>
            <w:r>
              <w:rPr>
                <w:rFonts w:ascii="Arial" w:cs="Arial" w:eastAsia="Arial" w:hAnsi="Arial"/>
                <w:sz w:val="18"/>
                <w:szCs w:val="18"/>
                <w:color w:val="auto"/>
              </w:rPr>
              <w:t>2014 until September 2015. Mr. Calabria joined the Company in 2004 and held roles of increasing responsibility</w:t>
            </w:r>
          </w:p>
        </w:tc>
      </w:tr>
      <w:tr>
        <w:trPr>
          <w:trHeight w:val="203"/>
        </w:trPr>
        <w:tc>
          <w:tcPr>
            <w:tcW w:w="1900" w:type="dxa"/>
            <w:vAlign w:val="bottom"/>
          </w:tcPr>
          <w:p>
            <w:pPr>
              <w:spacing w:after="0"/>
              <w:rPr>
                <w:sz w:val="17"/>
                <w:szCs w:val="17"/>
                <w:color w:val="auto"/>
              </w:rPr>
            </w:pPr>
          </w:p>
        </w:tc>
        <w:tc>
          <w:tcPr>
            <w:tcW w:w="9520" w:type="dxa"/>
            <w:vAlign w:val="bottom"/>
          </w:tcPr>
          <w:p>
            <w:pPr>
              <w:ind w:left="400"/>
              <w:spacing w:after="0" w:line="202" w:lineRule="exact"/>
              <w:rPr>
                <w:sz w:val="20"/>
                <w:szCs w:val="20"/>
                <w:color w:val="auto"/>
              </w:rPr>
            </w:pPr>
            <w:r>
              <w:rPr>
                <w:rFonts w:ascii="Arial" w:cs="Arial" w:eastAsia="Arial" w:hAnsi="Arial"/>
                <w:sz w:val="18"/>
                <w:szCs w:val="18"/>
                <w:color w:val="auto"/>
              </w:rPr>
              <w:t>within the Company’s Treasury function, including as Vice President and Assistant Treasurer. Prior to joining the</w:t>
            </w:r>
          </w:p>
        </w:tc>
      </w:tr>
      <w:tr>
        <w:trPr>
          <w:trHeight w:val="203"/>
        </w:trPr>
        <w:tc>
          <w:tcPr>
            <w:tcW w:w="1900" w:type="dxa"/>
            <w:vAlign w:val="bottom"/>
          </w:tcPr>
          <w:p>
            <w:pPr>
              <w:spacing w:after="0"/>
              <w:rPr>
                <w:sz w:val="17"/>
                <w:szCs w:val="17"/>
                <w:color w:val="auto"/>
              </w:rPr>
            </w:pPr>
          </w:p>
        </w:tc>
        <w:tc>
          <w:tcPr>
            <w:tcW w:w="9520" w:type="dxa"/>
            <w:vAlign w:val="bottom"/>
          </w:tcPr>
          <w:p>
            <w:pPr>
              <w:ind w:left="400"/>
              <w:spacing w:after="0" w:line="202" w:lineRule="exact"/>
              <w:rPr>
                <w:sz w:val="20"/>
                <w:szCs w:val="20"/>
                <w:color w:val="auto"/>
              </w:rPr>
            </w:pPr>
            <w:r>
              <w:rPr>
                <w:rFonts w:ascii="Arial" w:cs="Arial" w:eastAsia="Arial" w:hAnsi="Arial"/>
                <w:sz w:val="18"/>
                <w:szCs w:val="18"/>
                <w:color w:val="auto"/>
              </w:rPr>
              <w:t>Company, Mr. Calabria was a Vice President in ABS Conduit Administration at JPMorgan Chase Bank and was</w:t>
            </w:r>
          </w:p>
        </w:tc>
      </w:tr>
      <w:tr>
        <w:trPr>
          <w:trHeight w:val="210"/>
        </w:trPr>
        <w:tc>
          <w:tcPr>
            <w:tcW w:w="190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an accountant with PricewaterhouseCoopers. Mr. Calabria is a Certified Public Accountant.</w:t>
            </w:r>
          </w:p>
        </w:tc>
      </w:tr>
      <w:tr>
        <w:trPr>
          <w:trHeight w:val="392"/>
        </w:trPr>
        <w:tc>
          <w:tcPr>
            <w:tcW w:w="1900" w:type="dxa"/>
            <w:vAlign w:val="bottom"/>
          </w:tcPr>
          <w:p>
            <w:pPr>
              <w:spacing w:after="0"/>
              <w:rPr>
                <w:sz w:val="24"/>
                <w:szCs w:val="24"/>
                <w:color w:val="auto"/>
              </w:rPr>
            </w:pPr>
          </w:p>
        </w:tc>
        <w:tc>
          <w:tcPr>
            <w:tcW w:w="9520" w:type="dxa"/>
            <w:vAlign w:val="bottom"/>
          </w:tcPr>
          <w:p>
            <w:pPr>
              <w:ind w:left="3720"/>
              <w:spacing w:after="0"/>
              <w:rPr>
                <w:sz w:val="20"/>
                <w:szCs w:val="20"/>
                <w:color w:val="auto"/>
              </w:rPr>
            </w:pPr>
            <w:r>
              <w:rPr>
                <w:rFonts w:ascii="Arial" w:cs="Arial" w:eastAsia="Arial" w:hAnsi="Arial"/>
                <w:sz w:val="18"/>
                <w:szCs w:val="18"/>
                <w:color w:val="auto"/>
              </w:rPr>
              <w:t>22</w:t>
            </w:r>
          </w:p>
        </w:tc>
      </w:tr>
      <w:tr>
        <w:trPr>
          <w:trHeight w:val="237"/>
        </w:trPr>
        <w:tc>
          <w:tcPr>
            <w:tcW w:w="1900" w:type="dxa"/>
            <w:vAlign w:val="bottom"/>
            <w:tcBorders>
              <w:bottom w:val="single" w:sz="8" w:color="C0C0C0"/>
            </w:tcBorders>
          </w:tcPr>
          <w:p>
            <w:pPr>
              <w:spacing w:after="0"/>
              <w:rPr>
                <w:sz w:val="20"/>
                <w:szCs w:val="20"/>
                <w:color w:val="auto"/>
              </w:rPr>
            </w:pPr>
          </w:p>
        </w:tc>
        <w:tc>
          <w:tcPr>
            <w:tcW w:w="95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45"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We refer you to our Annual Report on Form 10-K for the year ended December 31, 2018 (our “2018 Form 10-K”) for additional information regarding our financial results discussed below. In this Proxy Statement, we refer to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 income taxes. This non-GAAP measure is a performance metric in our incentive programs and a reconciliation is provided under “Analysis of 2018 Pay Decisions.” When we refer to “the Committee” in this “Executive Compensation” section, we are referring to the Compensation Committee.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Company Performance</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had a successful year in 2018. Revenue was $9.1 billion for 2018, reflecting growth of 3% compared to 2017 and representing our ninth consecutive year of revenue growth. Our net income was $ 165 million, and our Adjusted EBITDA was $781 million, consistent with the Company’s expectations announced in early 2018. In 2018, we also returned capital to our shareholders through the repurchase of $200 million of our Common Stock, resulting in the repurchase of 5.9 million shares. Our closing stock price on December 31, 2018 was lower compared to our closing stock price on December 31, 2017, despite our achievements.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Strategic Accomplishments</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2018, we continued to make investments in our business designed to lower our cost structure, modernize our core infrastructure and further our position in the evolving mobility landscape, including by:</w:t>
      </w:r>
    </w:p>
    <w:p>
      <w:pPr>
        <w:spacing w:after="0" w:line="183" w:lineRule="exact"/>
        <w:rPr>
          <w:sz w:val="20"/>
          <w:szCs w:val="20"/>
          <w:color w:val="auto"/>
        </w:rPr>
      </w:pPr>
    </w:p>
    <w:p>
      <w:pPr>
        <w:ind w:left="360" w:right="20" w:hanging="352"/>
        <w:spacing w:after="0" w:line="246"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continuing to improve our Avis mobile app, which customers can use to make, modify or cancel a reservation, choose the vehicle they want, exchange or upgrade their vehicle, and return the vehicle without any assistance, all on their mobile device;</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entering into an agreement with Amazon to reward their customers when they rent a car through Avis and Budget;</w:t>
      </w:r>
    </w:p>
    <w:p>
      <w:pPr>
        <w:spacing w:after="0" w:line="211" w:lineRule="exact"/>
        <w:rPr>
          <w:rFonts w:ascii="Arial" w:cs="Arial" w:eastAsia="Arial" w:hAnsi="Arial"/>
          <w:sz w:val="18"/>
          <w:szCs w:val="18"/>
          <w:color w:val="auto"/>
        </w:rPr>
      </w:pPr>
    </w:p>
    <w:p>
      <w:pPr>
        <w:jc w:val="both"/>
        <w:ind w:left="360" w:hanging="352"/>
        <w:spacing w:after="0" w:line="239"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optimizing our global network by acquiring: a number of licensees in Europe and North America, and Morini, specializing in the rental of light commercial vehicles in Italy, and Turiscar, a well-established vehicle rental company in Portugal, which together with the previous acquisitions of Maggiore, FranceCars and ACL Hire Limited have assisted the Company in growing a substantial European light commercial vehicle footprint;</w:t>
      </w:r>
    </w:p>
    <w:p>
      <w:pPr>
        <w:spacing w:after="0" w:line="188" w:lineRule="exact"/>
        <w:rPr>
          <w:rFonts w:ascii="Arial" w:cs="Arial" w:eastAsia="Arial" w:hAnsi="Arial"/>
          <w:sz w:val="18"/>
          <w:szCs w:val="18"/>
          <w:color w:val="auto"/>
        </w:rPr>
      </w:pPr>
    </w:p>
    <w:p>
      <w:pPr>
        <w:ind w:left="360" w:hanging="352"/>
        <w:spacing w:after="0" w:line="246"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increasing the number of connected vehicles in our fleet to more than 100,000, as part of a process the Company has embarked upon to digitize its business to drive operating efficiencies to improve margins;</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continuing to modernize our core rental and reservation system, our revenue management system and our digital websites; and</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entering into an agreement with Lyft to add our vehicles to the Lyft Express Drive program in select cities across North America.</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Strategy</w:t>
      </w: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2019, we intend to continue to apply our brands, technology and people to drive profitable growth, while further building our position in the mobility services industry by continuing to:</w:t>
      </w:r>
    </w:p>
    <w:p>
      <w:pPr>
        <w:spacing w:after="0" w:line="183" w:lineRule="exact"/>
        <w:rPr>
          <w:sz w:val="20"/>
          <w:szCs w:val="20"/>
          <w:color w:val="auto"/>
        </w:rPr>
      </w:pPr>
    </w:p>
    <w:p>
      <w:pPr>
        <w:jc w:val="both"/>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 in connected car technology, and data management and analytics for our connected car platform to allow the Company to streamline operations and reduce costs, including as a result of mileage management, automated maintenance notification, tracking of idle vehicles and more dynamic fleet planning;</w:t>
      </w:r>
    </w:p>
    <w:p>
      <w:pPr>
        <w:spacing w:after="0" w:line="189"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improve our Avis mobile app to further enhance our customers’ experience;</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optimize our global footprint, and modernize our systems to drive efficiency; and</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explore new mobility partnerships and products.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Compensation for our Named 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 2018 Pay Levels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part of the regular annual review process, the Committee considered 2017 financial performance, and market and other factors, and determined that no changes would be made to base salaries, and annual incentive and long-term incentive target opportunities for the Company’s NEOs. Consistent with our past practice, more than 50% of our Chief Executive Officer’s 2018 pay opportunity, at target, was performance-based, excluding amounts contained in the Summary Compensation Table under “All Other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Alignment of 2018 Compensation with Performance</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history of pay-for-performance alignment was evident in the compensation paid to our NEOs for 2018. Based on 2018 financial performance and individual performance, annual incentive program payouts ranged between 46% of target for our President, International and 139% of target for our President, Americas. Our CEO’s annual incentive program payout was 103% of target. However, as a result of our three-year cumulative financial results, performance-based restricted stock unit awards (“PSUs”) granted in 2015 did not vest in 2018 and were forfeited without payout.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Setting 2018 Performance Metrics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2017, the Committee approved an annual incentive program (“AIP”) that was based on historical practice and thus included one-year Adjusted EBITDA as the sole metric. At the same time, the Committee approved a new long-term incentive program (“LTIP”) for then NEOs based on Adjusted EBITDA margin, replacing the historical program, which included performance metrics based on three-year cumulative Adjusted EBITDA goals and a relative total-shareholder return modifier.</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2018, the Committee approved PSU awards with a three-year cumulative Adjusted EBITDA performance metric. This decision was made based on a number of factors, including but not limited to the significant correlation between Adjusted EBITDA and the Company’s stock price performance, and the Company’s strategic goals. The Committee also changed the performance metrics in the AIP to include: Adjusted EBITDA, with a 50% weighting; Adjusted Free Cash Flow, with a 25% weighting; and an individual performance component, with a 25% weighting, as discussed in more detail under “Annual Incentive Awards.”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Practices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compensation programs reflect sound practices, such as:</w:t>
      </w:r>
    </w:p>
    <w:p>
      <w:pPr>
        <w:spacing w:after="0" w:line="198" w:lineRule="exact"/>
        <w:rPr>
          <w:sz w:val="20"/>
          <w:szCs w:val="20"/>
          <w:color w:val="auto"/>
        </w:rPr>
      </w:pPr>
    </w:p>
    <w:p>
      <w:pPr>
        <w:ind w:left="360" w:hanging="352"/>
        <w:spacing w:after="0" w:line="246"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stock ownership guidelines with significant share ownership requirements and a requirement that an amount equal to 50% of net shares that vest must also be held for twelve months;</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executive compensation recoupment (or “clawback”) policy with respect to incentive compensation;</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excise tax gross-up or single-trigger change-in-control provisions; and</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tax gross-ups on executive perquisites except with respect to relocation and expatriate benefits per the Company’s standard practices.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Named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addresses executive compensation in 2018 for our named executive officers, who are:</w:t>
      </w:r>
    </w:p>
    <w:p>
      <w:pPr>
        <w:spacing w:after="0" w:line="198"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Larry D. De Shon, our Chief Executive Officer, President and Chief Operating Officer (our “CEO”);</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Martyn Smith, our former interim Chief Financial Officer (our “Former Interim CFO”);</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Joseph A. Ferraro, our President, Americas;</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 J. Servodidio, our President, International; and</w:t>
      </w:r>
    </w:p>
    <w:p>
      <w:pPr>
        <w:spacing w:after="0" w:line="211" w:lineRule="exact"/>
        <w:rPr>
          <w:rFonts w:ascii="Arial" w:cs="Arial" w:eastAsia="Arial" w:hAnsi="Arial"/>
          <w:sz w:val="18"/>
          <w:szCs w:val="18"/>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Michael K. Tucker, our Executive Vice President, General Counsel, Chief Compliance Officer and Assistant Secretary (our “GC”).</w:t>
      </w:r>
    </w:p>
    <w:p>
      <w:pPr>
        <w:spacing w:after="0" w:line="21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Mr. Ferraro and Mr. Servodidio are sometimes referred to herein collectively as the “Regional Presidents”. In March 2019, the Company announced that Mr. Servodidio will resign effective June 14, 2019. For further information, please see “Executive</w:t>
      </w:r>
    </w:p>
    <w:p>
      <w:pPr>
        <w:sectPr>
          <w:pgSz w:w="11900" w:h="16838" w:orient="portrait"/>
          <w:cols w:equalWidth="0" w:num="1">
            <w:col w:w="11420"/>
          </w:cols>
          <w:pgMar w:left="240" w:top="445" w:right="2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Officers.” Mr. Smith stepped down from the role of Interim CFO effective March 18, 2019 and currently holds a transition and advisory role with the Company. Effective March 18, 2019, Mr. John F. North, III was appointed Executive Vice President and Chief Financial Officer. Mr. North’s biographical information can be found above under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Compensation for our NEOs is typically comprised of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Component</w:t>
            </w:r>
          </w:p>
        </w:tc>
        <w:tc>
          <w:tcPr>
            <w:tcW w:w="8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Function and Objective</w:t>
            </w:r>
          </w:p>
        </w:tc>
      </w:tr>
      <w:tr>
        <w:trPr>
          <w:trHeight w:val="202"/>
        </w:trPr>
        <w:tc>
          <w:tcPr>
            <w:tcW w:w="2720" w:type="dxa"/>
            <w:vAlign w:val="bottom"/>
            <w:shd w:val="clear" w:color="auto" w:fill="CCCCCC"/>
          </w:tcPr>
          <w:p>
            <w:pPr>
              <w:ind w:left="60"/>
              <w:spacing w:after="0" w:line="201" w:lineRule="exact"/>
              <w:rPr>
                <w:sz w:val="20"/>
                <w:szCs w:val="20"/>
                <w:color w:val="auto"/>
              </w:rPr>
            </w:pPr>
            <w:r>
              <w:rPr>
                <w:rFonts w:ascii="Arial" w:cs="Arial" w:eastAsia="Arial" w:hAnsi="Arial"/>
                <w:sz w:val="18"/>
                <w:szCs w:val="18"/>
                <w:i w:val="1"/>
                <w:iCs w:val="1"/>
                <w:color w:val="auto"/>
              </w:rPr>
              <w:t>Base Salary</w:t>
            </w:r>
          </w:p>
        </w:tc>
        <w:tc>
          <w:tcPr>
            <w:tcW w:w="8700" w:type="dxa"/>
            <w:vAlign w:val="bottom"/>
            <w:shd w:val="clear" w:color="auto" w:fill="CCCCCC"/>
          </w:tcPr>
          <w:p>
            <w:pPr>
              <w:ind w:left="380"/>
              <w:spacing w:after="0" w:line="201" w:lineRule="exact"/>
              <w:rPr>
                <w:sz w:val="20"/>
                <w:szCs w:val="20"/>
                <w:color w:val="auto"/>
              </w:rPr>
            </w:pPr>
            <w:r>
              <w:rPr>
                <w:rFonts w:ascii="Arial" w:cs="Arial" w:eastAsia="Arial" w:hAnsi="Arial"/>
                <w:sz w:val="18"/>
                <w:szCs w:val="18"/>
                <w:color w:val="auto"/>
              </w:rPr>
              <w:t>Base salaries are paid in the form of cash and provide a fixed and competitive form of annual</w:t>
            </w:r>
          </w:p>
        </w:tc>
      </w:tr>
      <w:tr>
        <w:trPr>
          <w:trHeight w:val="203"/>
        </w:trPr>
        <w:tc>
          <w:tcPr>
            <w:tcW w:w="2720" w:type="dxa"/>
            <w:vAlign w:val="bottom"/>
            <w:shd w:val="clear" w:color="auto" w:fill="CCCCCC"/>
          </w:tcPr>
          <w:p>
            <w:pPr>
              <w:spacing w:after="0"/>
              <w:rPr>
                <w:sz w:val="17"/>
                <w:szCs w:val="17"/>
                <w:color w:val="auto"/>
              </w:rPr>
            </w:pPr>
          </w:p>
        </w:tc>
        <w:tc>
          <w:tcPr>
            <w:tcW w:w="87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compensation for the performance of primary responsibilities at a level consistent with each executive’s</w:t>
            </w:r>
          </w:p>
        </w:tc>
      </w:tr>
      <w:tr>
        <w:trPr>
          <w:trHeight w:val="203"/>
        </w:trPr>
        <w:tc>
          <w:tcPr>
            <w:tcW w:w="2720" w:type="dxa"/>
            <w:vAlign w:val="bottom"/>
            <w:shd w:val="clear" w:color="auto" w:fill="CCCCCC"/>
          </w:tcPr>
          <w:p>
            <w:pPr>
              <w:spacing w:after="0"/>
              <w:rPr>
                <w:sz w:val="17"/>
                <w:szCs w:val="17"/>
                <w:color w:val="auto"/>
              </w:rPr>
            </w:pPr>
          </w:p>
        </w:tc>
        <w:tc>
          <w:tcPr>
            <w:tcW w:w="87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experience and role. Base salaries are designed to provide competitive compensation to attract and</w:t>
            </w:r>
          </w:p>
        </w:tc>
      </w:tr>
      <w:tr>
        <w:trPr>
          <w:trHeight w:val="203"/>
        </w:trPr>
        <w:tc>
          <w:tcPr>
            <w:tcW w:w="2720" w:type="dxa"/>
            <w:vAlign w:val="bottom"/>
            <w:tcBorders>
              <w:bottom w:val="single" w:sz="8" w:color="auto"/>
            </w:tcBorders>
            <w:shd w:val="clear" w:color="auto" w:fill="CCCCCC"/>
          </w:tcPr>
          <w:p>
            <w:pPr>
              <w:spacing w:after="0"/>
              <w:rPr>
                <w:sz w:val="17"/>
                <w:szCs w:val="17"/>
                <w:color w:val="auto"/>
              </w:rPr>
            </w:pPr>
          </w:p>
        </w:tc>
        <w:tc>
          <w:tcPr>
            <w:tcW w:w="8700" w:type="dxa"/>
            <w:vAlign w:val="bottom"/>
            <w:tcBorders>
              <w:bottom w:val="single" w:sz="8" w:color="auto"/>
            </w:tcBorders>
            <w:shd w:val="clear" w:color="auto" w:fill="CCCCCC"/>
          </w:tcPr>
          <w:p>
            <w:pPr>
              <w:ind w:left="380"/>
              <w:spacing w:after="0" w:line="203" w:lineRule="exact"/>
              <w:rPr>
                <w:sz w:val="20"/>
                <w:szCs w:val="20"/>
                <w:color w:val="auto"/>
              </w:rPr>
            </w:pPr>
            <w:r>
              <w:rPr>
                <w:rFonts w:ascii="Arial" w:cs="Arial" w:eastAsia="Arial" w:hAnsi="Arial"/>
                <w:sz w:val="18"/>
                <w:szCs w:val="18"/>
                <w:color w:val="auto"/>
              </w:rPr>
              <w:t>retain exceptional executive talent.</w:t>
            </w:r>
          </w:p>
        </w:tc>
      </w:tr>
      <w:tr>
        <w:trPr>
          <w:trHeight w:val="195"/>
        </w:trPr>
        <w:tc>
          <w:tcPr>
            <w:tcW w:w="2720" w:type="dxa"/>
            <w:vAlign w:val="bottom"/>
          </w:tcPr>
          <w:p>
            <w:pPr>
              <w:ind w:left="60"/>
              <w:spacing w:after="0" w:line="195" w:lineRule="exact"/>
              <w:rPr>
                <w:sz w:val="20"/>
                <w:szCs w:val="20"/>
                <w:color w:val="auto"/>
              </w:rPr>
            </w:pPr>
            <w:r>
              <w:rPr>
                <w:rFonts w:ascii="Arial" w:cs="Arial" w:eastAsia="Arial" w:hAnsi="Arial"/>
                <w:sz w:val="18"/>
                <w:szCs w:val="18"/>
                <w:i w:val="1"/>
                <w:iCs w:val="1"/>
                <w:color w:val="auto"/>
              </w:rPr>
              <w:t>Annual Incentive Awards</w:t>
            </w:r>
          </w:p>
        </w:tc>
        <w:tc>
          <w:tcPr>
            <w:tcW w:w="8700" w:type="dxa"/>
            <w:vAlign w:val="bottom"/>
          </w:tcPr>
          <w:p>
            <w:pPr>
              <w:ind w:left="380"/>
              <w:spacing w:after="0" w:line="195" w:lineRule="exact"/>
              <w:rPr>
                <w:sz w:val="20"/>
                <w:szCs w:val="20"/>
                <w:color w:val="auto"/>
              </w:rPr>
            </w:pPr>
            <w:r>
              <w:rPr>
                <w:rFonts w:ascii="Arial" w:cs="Arial" w:eastAsia="Arial" w:hAnsi="Arial"/>
                <w:sz w:val="18"/>
                <w:szCs w:val="18"/>
                <w:color w:val="auto"/>
              </w:rPr>
              <w:t>Annual incentives are comprised of annual cash incentive opportunities that are pre-dominantly</w:t>
            </w:r>
          </w:p>
        </w:tc>
      </w:tr>
      <w:tr>
        <w:trPr>
          <w:trHeight w:val="203"/>
        </w:trPr>
        <w:tc>
          <w:tcPr>
            <w:tcW w:w="2720" w:type="dxa"/>
            <w:vAlign w:val="bottom"/>
          </w:tcPr>
          <w:p>
            <w:pPr>
              <w:spacing w:after="0"/>
              <w:rPr>
                <w:sz w:val="17"/>
                <w:szCs w:val="17"/>
                <w:color w:val="auto"/>
              </w:rPr>
            </w:pPr>
          </w:p>
        </w:tc>
        <w:tc>
          <w:tcPr>
            <w:tcW w:w="8700" w:type="dxa"/>
            <w:vAlign w:val="bottom"/>
          </w:tcPr>
          <w:p>
            <w:pPr>
              <w:ind w:left="380"/>
              <w:spacing w:after="0" w:line="202" w:lineRule="exact"/>
              <w:rPr>
                <w:sz w:val="20"/>
                <w:szCs w:val="20"/>
                <w:color w:val="auto"/>
              </w:rPr>
            </w:pPr>
            <w:r>
              <w:rPr>
                <w:rFonts w:ascii="Arial" w:cs="Arial" w:eastAsia="Arial" w:hAnsi="Arial"/>
                <w:sz w:val="18"/>
                <w:szCs w:val="18"/>
                <w:color w:val="auto"/>
              </w:rPr>
              <w:t>performance-based,  and  reward  our  executives  upon  achieving  or  exceeding  specific  annual</w:t>
            </w:r>
          </w:p>
        </w:tc>
      </w:tr>
      <w:tr>
        <w:trPr>
          <w:trHeight w:val="203"/>
        </w:trPr>
        <w:tc>
          <w:tcPr>
            <w:tcW w:w="2720" w:type="dxa"/>
            <w:vAlign w:val="bottom"/>
          </w:tcPr>
          <w:p>
            <w:pPr>
              <w:spacing w:after="0"/>
              <w:rPr>
                <w:sz w:val="17"/>
                <w:szCs w:val="17"/>
                <w:color w:val="auto"/>
              </w:rPr>
            </w:pPr>
          </w:p>
        </w:tc>
        <w:tc>
          <w:tcPr>
            <w:tcW w:w="8700" w:type="dxa"/>
            <w:vAlign w:val="bottom"/>
          </w:tcPr>
          <w:p>
            <w:pPr>
              <w:ind w:left="380"/>
              <w:spacing w:after="0" w:line="202" w:lineRule="exact"/>
              <w:rPr>
                <w:sz w:val="20"/>
                <w:szCs w:val="20"/>
                <w:color w:val="auto"/>
              </w:rPr>
            </w:pPr>
            <w:r>
              <w:rPr>
                <w:rFonts w:ascii="Arial" w:cs="Arial" w:eastAsia="Arial" w:hAnsi="Arial"/>
                <w:sz w:val="18"/>
                <w:szCs w:val="18"/>
                <w:color w:val="auto"/>
              </w:rPr>
              <w:t>performance and individual goals using performance metrics approved by the Committee and that the</w:t>
            </w:r>
          </w:p>
        </w:tc>
      </w:tr>
      <w:tr>
        <w:trPr>
          <w:trHeight w:val="203"/>
        </w:trPr>
        <w:tc>
          <w:tcPr>
            <w:tcW w:w="272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Company believes are appropriate measures of operational and financial performance.</w:t>
            </w:r>
          </w:p>
        </w:tc>
      </w:tr>
      <w:tr>
        <w:trPr>
          <w:trHeight w:val="195"/>
        </w:trPr>
        <w:tc>
          <w:tcPr>
            <w:tcW w:w="2720" w:type="dxa"/>
            <w:vAlign w:val="bottom"/>
            <w:shd w:val="clear" w:color="auto" w:fill="CCCCCC"/>
          </w:tcPr>
          <w:p>
            <w:pPr>
              <w:ind w:left="60"/>
              <w:spacing w:after="0" w:line="195" w:lineRule="exact"/>
              <w:rPr>
                <w:sz w:val="20"/>
                <w:szCs w:val="20"/>
                <w:color w:val="auto"/>
              </w:rPr>
            </w:pPr>
            <w:r>
              <w:rPr>
                <w:rFonts w:ascii="Arial" w:cs="Arial" w:eastAsia="Arial" w:hAnsi="Arial"/>
                <w:sz w:val="18"/>
                <w:szCs w:val="18"/>
                <w:i w:val="1"/>
                <w:iCs w:val="1"/>
                <w:color w:val="auto"/>
              </w:rPr>
              <w:t>Long-Term Incentive Awards</w:t>
            </w:r>
          </w:p>
        </w:tc>
        <w:tc>
          <w:tcPr>
            <w:tcW w:w="8700" w:type="dxa"/>
            <w:vAlign w:val="bottom"/>
            <w:shd w:val="clear" w:color="auto" w:fill="CCCCCC"/>
          </w:tcPr>
          <w:p>
            <w:pPr>
              <w:ind w:left="380"/>
              <w:spacing w:after="0" w:line="195" w:lineRule="exact"/>
              <w:rPr>
                <w:sz w:val="20"/>
                <w:szCs w:val="20"/>
                <w:color w:val="auto"/>
              </w:rPr>
            </w:pPr>
            <w:r>
              <w:rPr>
                <w:rFonts w:ascii="Arial" w:cs="Arial" w:eastAsia="Arial" w:hAnsi="Arial"/>
                <w:sz w:val="18"/>
                <w:szCs w:val="18"/>
                <w:color w:val="auto"/>
              </w:rPr>
              <w:t>Long-term incentive awards are designed to attract and retain a highly qualified executive team, align</w:t>
            </w:r>
          </w:p>
        </w:tc>
      </w:tr>
      <w:tr>
        <w:trPr>
          <w:trHeight w:val="203"/>
        </w:trPr>
        <w:tc>
          <w:tcPr>
            <w:tcW w:w="2720" w:type="dxa"/>
            <w:vAlign w:val="bottom"/>
            <w:shd w:val="clear" w:color="auto" w:fill="CCCCCC"/>
          </w:tcPr>
          <w:p>
            <w:pPr>
              <w:spacing w:after="0"/>
              <w:rPr>
                <w:sz w:val="17"/>
                <w:szCs w:val="17"/>
                <w:color w:val="auto"/>
              </w:rPr>
            </w:pPr>
          </w:p>
        </w:tc>
        <w:tc>
          <w:tcPr>
            <w:tcW w:w="87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executive rewards with shareholder interests, provide an incentive for our executives to achieve</w:t>
            </w:r>
          </w:p>
        </w:tc>
      </w:tr>
      <w:tr>
        <w:trPr>
          <w:trHeight w:val="203"/>
        </w:trPr>
        <w:tc>
          <w:tcPr>
            <w:tcW w:w="2720" w:type="dxa"/>
            <w:vAlign w:val="bottom"/>
            <w:shd w:val="clear" w:color="auto" w:fill="CCCCCC"/>
          </w:tcPr>
          <w:p>
            <w:pPr>
              <w:spacing w:after="0"/>
              <w:rPr>
                <w:sz w:val="17"/>
                <w:szCs w:val="17"/>
                <w:color w:val="auto"/>
              </w:rPr>
            </w:pPr>
          </w:p>
        </w:tc>
        <w:tc>
          <w:tcPr>
            <w:tcW w:w="8700" w:type="dxa"/>
            <w:vAlign w:val="bottom"/>
            <w:shd w:val="clear" w:color="auto" w:fill="CCCCCC"/>
          </w:tcPr>
          <w:p>
            <w:pPr>
              <w:ind w:left="380"/>
              <w:spacing w:after="0" w:line="202" w:lineRule="exact"/>
              <w:rPr>
                <w:sz w:val="20"/>
                <w:szCs w:val="20"/>
                <w:color w:val="auto"/>
              </w:rPr>
            </w:pPr>
            <w:r>
              <w:rPr>
                <w:rFonts w:ascii="Arial" w:cs="Arial" w:eastAsia="Arial" w:hAnsi="Arial"/>
                <w:sz w:val="18"/>
                <w:szCs w:val="18"/>
                <w:color w:val="auto"/>
              </w:rPr>
              <w:t>appropriately challenging long-range performance goals, and allow our executives to share in the value</w:t>
            </w:r>
          </w:p>
        </w:tc>
      </w:tr>
      <w:tr>
        <w:trPr>
          <w:trHeight w:val="203"/>
        </w:trPr>
        <w:tc>
          <w:tcPr>
            <w:tcW w:w="2720" w:type="dxa"/>
            <w:vAlign w:val="bottom"/>
            <w:tcBorders>
              <w:bottom w:val="single" w:sz="8" w:color="auto"/>
            </w:tcBorders>
            <w:shd w:val="clear" w:color="auto" w:fill="CCCCCC"/>
          </w:tcPr>
          <w:p>
            <w:pPr>
              <w:spacing w:after="0"/>
              <w:rPr>
                <w:sz w:val="17"/>
                <w:szCs w:val="17"/>
                <w:color w:val="auto"/>
              </w:rPr>
            </w:pPr>
          </w:p>
        </w:tc>
        <w:tc>
          <w:tcPr>
            <w:tcW w:w="8700" w:type="dxa"/>
            <w:vAlign w:val="bottom"/>
            <w:tcBorders>
              <w:bottom w:val="single" w:sz="8" w:color="auto"/>
            </w:tcBorders>
            <w:shd w:val="clear" w:color="auto" w:fill="CCCCCC"/>
          </w:tcPr>
          <w:p>
            <w:pPr>
              <w:ind w:left="380"/>
              <w:spacing w:after="0" w:line="203" w:lineRule="exact"/>
              <w:rPr>
                <w:sz w:val="20"/>
                <w:szCs w:val="20"/>
                <w:color w:val="auto"/>
              </w:rPr>
            </w:pPr>
            <w:r>
              <w:rPr>
                <w:rFonts w:ascii="Arial" w:cs="Arial" w:eastAsia="Arial" w:hAnsi="Arial"/>
                <w:sz w:val="18"/>
                <w:szCs w:val="18"/>
                <w:color w:val="auto"/>
              </w:rPr>
              <w:t>created for the Company’s shareholders.</w:t>
            </w:r>
          </w:p>
        </w:tc>
      </w:tr>
      <w:tr>
        <w:trPr>
          <w:trHeight w:val="195"/>
        </w:trPr>
        <w:tc>
          <w:tcPr>
            <w:tcW w:w="2720" w:type="dxa"/>
            <w:vAlign w:val="bottom"/>
          </w:tcPr>
          <w:p>
            <w:pPr>
              <w:ind w:left="60"/>
              <w:spacing w:after="0" w:line="195" w:lineRule="exact"/>
              <w:rPr>
                <w:sz w:val="20"/>
                <w:szCs w:val="20"/>
                <w:color w:val="auto"/>
              </w:rPr>
            </w:pPr>
            <w:r>
              <w:rPr>
                <w:rFonts w:ascii="Arial" w:cs="Arial" w:eastAsia="Arial" w:hAnsi="Arial"/>
                <w:sz w:val="18"/>
                <w:szCs w:val="18"/>
                <w:i w:val="1"/>
                <w:iCs w:val="1"/>
                <w:color w:val="auto"/>
              </w:rPr>
              <w:t>Other Compensation</w:t>
            </w:r>
          </w:p>
        </w:tc>
        <w:tc>
          <w:tcPr>
            <w:tcW w:w="8700" w:type="dxa"/>
            <w:vAlign w:val="bottom"/>
          </w:tcPr>
          <w:p>
            <w:pPr>
              <w:ind w:left="380"/>
              <w:spacing w:after="0" w:line="195" w:lineRule="exact"/>
              <w:rPr>
                <w:sz w:val="20"/>
                <w:szCs w:val="20"/>
                <w:color w:val="auto"/>
              </w:rPr>
            </w:pPr>
            <w:r>
              <w:rPr>
                <w:rFonts w:ascii="Arial" w:cs="Arial" w:eastAsia="Arial" w:hAnsi="Arial"/>
                <w:sz w:val="18"/>
                <w:szCs w:val="18"/>
                <w:color w:val="auto"/>
              </w:rPr>
              <w:t>We provide certain health, life insurance, disability and retirement benefits, which are all part of our</w:t>
            </w:r>
          </w:p>
        </w:tc>
      </w:tr>
      <w:tr>
        <w:trPr>
          <w:trHeight w:val="203"/>
        </w:trPr>
        <w:tc>
          <w:tcPr>
            <w:tcW w:w="2720" w:type="dxa"/>
            <w:vAlign w:val="bottom"/>
          </w:tcPr>
          <w:p>
            <w:pPr>
              <w:spacing w:after="0"/>
              <w:rPr>
                <w:sz w:val="17"/>
                <w:szCs w:val="17"/>
                <w:color w:val="auto"/>
              </w:rPr>
            </w:pPr>
          </w:p>
        </w:tc>
        <w:tc>
          <w:tcPr>
            <w:tcW w:w="8700" w:type="dxa"/>
            <w:vAlign w:val="bottom"/>
          </w:tcPr>
          <w:p>
            <w:pPr>
              <w:ind w:left="380"/>
              <w:spacing w:after="0" w:line="202" w:lineRule="exact"/>
              <w:rPr>
                <w:sz w:val="20"/>
                <w:szCs w:val="20"/>
                <w:color w:val="auto"/>
              </w:rPr>
            </w:pPr>
            <w:r>
              <w:rPr>
                <w:rFonts w:ascii="Arial" w:cs="Arial" w:eastAsia="Arial" w:hAnsi="Arial"/>
                <w:sz w:val="18"/>
                <w:szCs w:val="18"/>
                <w:color w:val="auto"/>
              </w:rPr>
              <w:t>broad-based employee benefits program. Retirement benefits for our NEOs (other than our President,</w:t>
            </w:r>
          </w:p>
        </w:tc>
      </w:tr>
      <w:tr>
        <w:trPr>
          <w:trHeight w:val="203"/>
        </w:trPr>
        <w:tc>
          <w:tcPr>
            <w:tcW w:w="2720" w:type="dxa"/>
            <w:vAlign w:val="bottom"/>
          </w:tcPr>
          <w:p>
            <w:pPr>
              <w:spacing w:after="0"/>
              <w:rPr>
                <w:sz w:val="17"/>
                <w:szCs w:val="17"/>
                <w:color w:val="auto"/>
              </w:rPr>
            </w:pPr>
          </w:p>
        </w:tc>
        <w:tc>
          <w:tcPr>
            <w:tcW w:w="8700" w:type="dxa"/>
            <w:vAlign w:val="bottom"/>
          </w:tcPr>
          <w:p>
            <w:pPr>
              <w:ind w:left="380"/>
              <w:spacing w:after="0" w:line="202" w:lineRule="exact"/>
              <w:rPr>
                <w:sz w:val="20"/>
                <w:szCs w:val="20"/>
                <w:color w:val="auto"/>
              </w:rPr>
            </w:pPr>
            <w:r>
              <w:rPr>
                <w:rFonts w:ascii="Arial" w:cs="Arial" w:eastAsia="Arial" w:hAnsi="Arial"/>
                <w:sz w:val="18"/>
                <w:szCs w:val="18"/>
                <w:color w:val="auto"/>
              </w:rPr>
              <w:t>Americas and our Former Interim CFO) are limited to (i) deferrals under the Company’s deferred</w:t>
            </w:r>
          </w:p>
        </w:tc>
      </w:tr>
      <w:tr>
        <w:trPr>
          <w:trHeight w:val="203"/>
        </w:trPr>
        <w:tc>
          <w:tcPr>
            <w:tcW w:w="2720" w:type="dxa"/>
            <w:vAlign w:val="bottom"/>
          </w:tcPr>
          <w:p>
            <w:pPr>
              <w:spacing w:after="0"/>
              <w:rPr>
                <w:sz w:val="17"/>
                <w:szCs w:val="17"/>
                <w:color w:val="auto"/>
              </w:rPr>
            </w:pPr>
          </w:p>
        </w:tc>
        <w:tc>
          <w:tcPr>
            <w:tcW w:w="8700" w:type="dxa"/>
            <w:vAlign w:val="bottom"/>
          </w:tcPr>
          <w:p>
            <w:pPr>
              <w:ind w:left="380"/>
              <w:spacing w:after="0" w:line="202" w:lineRule="exact"/>
              <w:rPr>
                <w:sz w:val="20"/>
                <w:szCs w:val="20"/>
                <w:color w:val="auto"/>
              </w:rPr>
            </w:pPr>
            <w:r>
              <w:rPr>
                <w:rFonts w:ascii="Arial" w:cs="Arial" w:eastAsia="Arial" w:hAnsi="Arial"/>
                <w:sz w:val="18"/>
                <w:szCs w:val="18"/>
                <w:color w:val="auto"/>
              </w:rPr>
              <w:t>compensation plan for executives, which the Company matches up to a maximum of 6% of base salary</w:t>
            </w:r>
          </w:p>
        </w:tc>
      </w:tr>
      <w:tr>
        <w:trPr>
          <w:trHeight w:val="203"/>
        </w:trPr>
        <w:tc>
          <w:tcPr>
            <w:tcW w:w="2720" w:type="dxa"/>
            <w:vAlign w:val="bottom"/>
          </w:tcPr>
          <w:p>
            <w:pPr>
              <w:spacing w:after="0"/>
              <w:rPr>
                <w:sz w:val="17"/>
                <w:szCs w:val="17"/>
                <w:color w:val="auto"/>
              </w:rPr>
            </w:pPr>
          </w:p>
        </w:tc>
        <w:tc>
          <w:tcPr>
            <w:tcW w:w="8700" w:type="dxa"/>
            <w:vAlign w:val="bottom"/>
          </w:tcPr>
          <w:p>
            <w:pPr>
              <w:ind w:left="380"/>
              <w:spacing w:after="0" w:line="202" w:lineRule="exact"/>
              <w:rPr>
                <w:sz w:val="20"/>
                <w:szCs w:val="20"/>
                <w:color w:val="auto"/>
              </w:rPr>
            </w:pPr>
            <w:r>
              <w:rPr>
                <w:rFonts w:ascii="Arial" w:cs="Arial" w:eastAsia="Arial" w:hAnsi="Arial"/>
                <w:sz w:val="18"/>
                <w:szCs w:val="18"/>
                <w:color w:val="auto"/>
              </w:rPr>
              <w:t>and annual incentive, and/or (ii) participation in our 401(k) plan. Other executive benefits and</w:t>
            </w:r>
          </w:p>
        </w:tc>
      </w:tr>
      <w:tr>
        <w:trPr>
          <w:trHeight w:val="203"/>
        </w:trPr>
        <w:tc>
          <w:tcPr>
            <w:tcW w:w="2720" w:type="dxa"/>
            <w:vAlign w:val="bottom"/>
          </w:tcPr>
          <w:p>
            <w:pPr>
              <w:spacing w:after="0"/>
              <w:rPr>
                <w:sz w:val="17"/>
                <w:szCs w:val="17"/>
                <w:color w:val="auto"/>
              </w:rPr>
            </w:pPr>
          </w:p>
        </w:tc>
        <w:tc>
          <w:tcPr>
            <w:tcW w:w="8700" w:type="dxa"/>
            <w:vAlign w:val="bottom"/>
          </w:tcPr>
          <w:p>
            <w:pPr>
              <w:ind w:left="380"/>
              <w:spacing w:after="0" w:line="202" w:lineRule="exact"/>
              <w:rPr>
                <w:sz w:val="20"/>
                <w:szCs w:val="20"/>
                <w:color w:val="auto"/>
              </w:rPr>
            </w:pPr>
            <w:r>
              <w:rPr>
                <w:rFonts w:ascii="Arial" w:cs="Arial" w:eastAsia="Arial" w:hAnsi="Arial"/>
                <w:sz w:val="18"/>
                <w:szCs w:val="18"/>
                <w:color w:val="auto"/>
              </w:rPr>
              <w:t>perquisites include auto use and financial planning services. Our CEO is also provided with agreed-</w:t>
            </w:r>
          </w:p>
        </w:tc>
      </w:tr>
      <w:tr>
        <w:trPr>
          <w:trHeight w:val="210"/>
        </w:trPr>
        <w:tc>
          <w:tcPr>
            <w:tcW w:w="2720" w:type="dxa"/>
            <w:vAlign w:val="bottom"/>
            <w:tcBorders>
              <w:bottom w:val="single" w:sz="8" w:color="auto"/>
            </w:tcBorders>
          </w:tcPr>
          <w:p>
            <w:pPr>
              <w:spacing w:after="0"/>
              <w:rPr>
                <w:sz w:val="18"/>
                <w:szCs w:val="18"/>
                <w:color w:val="auto"/>
              </w:rPr>
            </w:pPr>
          </w:p>
        </w:tc>
        <w:tc>
          <w:tcPr>
            <w:tcW w:w="8700" w:type="dxa"/>
            <w:vAlign w:val="bottom"/>
            <w:tcBorders>
              <w:bottom w:val="single" w:sz="8" w:color="auto"/>
            </w:tcBorders>
          </w:tcPr>
          <w:p>
            <w:pPr>
              <w:ind w:left="380"/>
              <w:spacing w:after="0" w:line="203" w:lineRule="exact"/>
              <w:rPr>
                <w:sz w:val="20"/>
                <w:szCs w:val="20"/>
                <w:color w:val="auto"/>
              </w:rPr>
            </w:pPr>
            <w:r>
              <w:rPr>
                <w:rFonts w:ascii="Arial" w:cs="Arial" w:eastAsia="Arial" w:hAnsi="Arial"/>
                <w:sz w:val="18"/>
                <w:szCs w:val="18"/>
                <w:color w:val="auto"/>
              </w:rPr>
              <w:t>upon limited personal use of Company-leased aircraft services.</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2018 Pay Decisions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Philosophy, Components and Mix of Executive Compensation</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2018, “pay-for-performance” continued to be a fundamental tenet of our compensation philosophy, which includes the core principles of rewarding the attainment of appropriately challenging performance goals and aligning our executives’ objectives with our shareholders’ interests. The Committee also believes that executive compensation should be designed to attract and retain a high-caliber leadership team and take into consideration competitive practices and the overall market for executive talent.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Salaries for our Named Executive Officers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Salaries for our NEOs are typically determined based on factors such as our past practice, reasonable comparability with Peer Group pay data and Survey Data (as described under “Consideration of Peer Groups and Survey Data”) and each NEO’s responsibilities, capabilities and skills, commitment to our business, leadership and drive to add value. For the CEO and CFO roles, the Committee also considers the size and complexity of our balance sheet and capital structure. Following the regular annual review for each role, the Committee determined to maintain the base salary for each of our NEOs consistent with 2017 levels, as discussed above under “Setting 2018 Pay Levels.”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Awards</w:t>
      </w: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many years, the sole performance metric for our annual incentive program has been Adjusted EBITDA, which is a key measure of operational and financial performance and is driven by achieving profitable revenues and our annual business plan, and widely understood within the Company. For 2018, the Committee considered, with input from the Committee’s compensation consultant and management, whether different or additional performance metrics should be utilized for the Company’s annual incentive program (the “2018 AIP”), in part because the Committee anticipated including three-year cumulative Adjusted EBITDA as the performance metric in the Company’s 2018 long-term incentive program.</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Consistent with the Company’s pay-for-performance philosophy and to recognize individual contribution, the Committee determined to include Adjusted Free Cash Flow and individual performance as components for the 2018 AIP in addition to Adjusted EBITDA. The Committee made such determination based on a review of peer practices, the focus on Adjusted Free Cash Flow by the Company’s stakeholders, and the belief that including an individual component intended to reward the contribution and value an employee brings to the organization would be motivating and allow for differentiation furthering our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alignment with pay-for-performance. Target payouts as a percentage of base salary remained consistent with 2017 levels, ranging from 25% to 200% of target, as discussed under “Setting 2018 Pay Levels.”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Goals</w:t>
      </w:r>
    </w:p>
    <w:p>
      <w:pPr>
        <w:spacing w:after="0" w:line="21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financial performance goals included in the 2018 AIP, presented below, were set based on the Company’s 2018 business plan. At target, the global Adjusted EBITDA goal represented an increase of approximately 6% compared to 2017 Adjusted EBITDA, as reported.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20"/>
                <w:szCs w:val="20"/>
                <w:color w:val="auto"/>
              </w:rPr>
            </w:pPr>
            <w:r>
              <w:rPr>
                <w:rFonts w:ascii="Arial" w:cs="Arial" w:eastAsia="Arial" w:hAnsi="Arial"/>
                <w:sz w:val="16"/>
                <w:szCs w:val="16"/>
                <w:b w:val="1"/>
                <w:bCs w:val="1"/>
                <w:color w:val="auto"/>
              </w:rPr>
              <w:t>ADJUSTED EBITDA GOALS</w:t>
            </w:r>
          </w:p>
        </w:tc>
        <w:tc>
          <w:tcPr>
            <w:tcW w:w="2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820" w:type="dxa"/>
            <w:vAlign w:val="bottom"/>
          </w:tcPr>
          <w:p>
            <w:pPr>
              <w:spacing w:after="0"/>
              <w:rPr>
                <w:sz w:val="24"/>
                <w:szCs w:val="24"/>
                <w:color w:val="auto"/>
              </w:rPr>
            </w:pPr>
          </w:p>
        </w:tc>
        <w:tc>
          <w:tcPr>
            <w:tcW w:w="2240" w:type="dxa"/>
            <w:vAlign w:val="bottom"/>
            <w:vMerge w:val="restart"/>
          </w:tcPr>
          <w:p>
            <w:pPr>
              <w:jc w:val="center"/>
              <w:ind w:left="79"/>
              <w:spacing w:after="0"/>
              <w:rPr>
                <w:sz w:val="20"/>
                <w:szCs w:val="20"/>
                <w:color w:val="auto"/>
              </w:rPr>
            </w:pPr>
            <w:r>
              <w:rPr>
                <w:rFonts w:ascii="Arial" w:cs="Arial" w:eastAsia="Arial" w:hAnsi="Arial"/>
                <w:sz w:val="16"/>
                <w:szCs w:val="16"/>
                <w:b w:val="1"/>
                <w:bCs w:val="1"/>
                <w:color w:val="auto"/>
              </w:rPr>
              <w:t>Opportunity</w:t>
            </w:r>
          </w:p>
        </w:tc>
        <w:tc>
          <w:tcPr>
            <w:tcW w:w="19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(Dollars in Millions)</w:t>
            </w: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20" w:type="dxa"/>
            <w:vAlign w:val="bottom"/>
          </w:tcPr>
          <w:p>
            <w:pPr>
              <w:spacing w:after="0"/>
              <w:rPr>
                <w:sz w:val="13"/>
                <w:szCs w:val="13"/>
                <w:color w:val="auto"/>
              </w:rPr>
            </w:pPr>
          </w:p>
        </w:tc>
        <w:tc>
          <w:tcPr>
            <w:tcW w:w="2240" w:type="dxa"/>
            <w:vAlign w:val="bottom"/>
            <w:vMerge w:val="continue"/>
          </w:tcPr>
          <w:p>
            <w:pPr>
              <w:spacing w:after="0"/>
              <w:rPr>
                <w:sz w:val="13"/>
                <w:szCs w:val="13"/>
                <w:color w:val="auto"/>
              </w:rPr>
            </w:pPr>
          </w:p>
        </w:tc>
        <w:tc>
          <w:tcPr>
            <w:tcW w:w="1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8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Achievement Level</w:t>
            </w:r>
          </w:p>
        </w:tc>
        <w:tc>
          <w:tcPr>
            <w:tcW w:w="22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9"/>
              </w:rPr>
              <w:t>(% of Target)*</w:t>
            </w:r>
          </w:p>
        </w:tc>
        <w:tc>
          <w:tcPr>
            <w:tcW w:w="19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99"/>
              </w:rPr>
              <w:t>Global**</w:t>
            </w:r>
          </w:p>
        </w:tc>
        <w:tc>
          <w:tcPr>
            <w:tcW w:w="248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Americas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auto"/>
            </w:tcBorders>
            <w:shd w:val="clear" w:color="auto" w:fill="CCCCCC"/>
          </w:tcPr>
          <w:p>
            <w:pPr>
              <w:ind w:left="60"/>
              <w:spacing w:after="0" w:line="183" w:lineRule="exact"/>
              <w:rPr>
                <w:sz w:val="20"/>
                <w:szCs w:val="20"/>
                <w:color w:val="auto"/>
              </w:rPr>
            </w:pPr>
            <w:r>
              <w:rPr>
                <w:rFonts w:ascii="Arial" w:cs="Arial" w:eastAsia="Arial" w:hAnsi="Arial"/>
                <w:sz w:val="16"/>
                <w:szCs w:val="16"/>
                <w:color w:val="auto"/>
              </w:rPr>
              <w:t>Maximum</w:t>
            </w:r>
          </w:p>
        </w:tc>
        <w:tc>
          <w:tcPr>
            <w:tcW w:w="2240" w:type="dxa"/>
            <w:vAlign w:val="bottom"/>
            <w:tcBorders>
              <w:bottom w:val="single" w:sz="8" w:color="auto"/>
            </w:tcBorders>
            <w:shd w:val="clear" w:color="auto" w:fill="CCCCCC"/>
          </w:tcPr>
          <w:p>
            <w:pPr>
              <w:jc w:val="center"/>
              <w:ind w:left="99"/>
              <w:spacing w:after="0" w:line="183" w:lineRule="exact"/>
              <w:rPr>
                <w:sz w:val="20"/>
                <w:szCs w:val="20"/>
                <w:color w:val="auto"/>
              </w:rPr>
            </w:pPr>
            <w:r>
              <w:rPr>
                <w:rFonts w:ascii="Arial" w:cs="Arial" w:eastAsia="Arial" w:hAnsi="Arial"/>
                <w:sz w:val="16"/>
                <w:szCs w:val="16"/>
                <w:color w:val="auto"/>
              </w:rPr>
              <w:t>200%</w:t>
            </w:r>
          </w:p>
        </w:tc>
        <w:tc>
          <w:tcPr>
            <w:tcW w:w="1940" w:type="dxa"/>
            <w:vAlign w:val="bottom"/>
            <w:tcBorders>
              <w:bottom w:val="single" w:sz="8" w:color="auto"/>
            </w:tcBorders>
            <w:shd w:val="clear" w:color="auto" w:fill="CCCCCC"/>
          </w:tcPr>
          <w:p>
            <w:pPr>
              <w:jc w:val="center"/>
              <w:ind w:left="259"/>
              <w:spacing w:after="0" w:line="183" w:lineRule="exact"/>
              <w:rPr>
                <w:sz w:val="20"/>
                <w:szCs w:val="20"/>
                <w:color w:val="auto"/>
              </w:rPr>
            </w:pPr>
            <w:r>
              <w:rPr>
                <w:rFonts w:ascii="Arial" w:cs="Arial" w:eastAsia="Arial" w:hAnsi="Arial"/>
                <w:sz w:val="16"/>
                <w:szCs w:val="16"/>
                <w:color w:val="auto"/>
              </w:rPr>
              <w:t>$936</w:t>
            </w:r>
          </w:p>
        </w:tc>
        <w:tc>
          <w:tcPr>
            <w:tcW w:w="2480" w:type="dxa"/>
            <w:vAlign w:val="bottom"/>
            <w:tcBorders>
              <w:bottom w:val="single" w:sz="8" w:color="auto"/>
            </w:tcBorders>
            <w:shd w:val="clear" w:color="auto" w:fill="CCCCCC"/>
          </w:tcPr>
          <w:p>
            <w:pPr>
              <w:jc w:val="center"/>
              <w:ind w:left="159"/>
              <w:spacing w:after="0" w:line="183" w:lineRule="exact"/>
              <w:rPr>
                <w:sz w:val="20"/>
                <w:szCs w:val="20"/>
                <w:color w:val="auto"/>
              </w:rPr>
            </w:pPr>
            <w:r>
              <w:rPr>
                <w:rFonts w:ascii="Arial" w:cs="Arial" w:eastAsia="Arial" w:hAnsi="Arial"/>
                <w:sz w:val="16"/>
                <w:szCs w:val="16"/>
                <w:color w:val="auto"/>
              </w:rPr>
              <w:t>$592</w:t>
            </w:r>
          </w:p>
        </w:tc>
        <w:tc>
          <w:tcPr>
            <w:tcW w:w="1940" w:type="dxa"/>
            <w:vAlign w:val="bottom"/>
            <w:tcBorders>
              <w:bottom w:val="single" w:sz="8" w:color="auto"/>
            </w:tcBorders>
            <w:shd w:val="clear" w:color="auto" w:fill="CCCCCC"/>
          </w:tcPr>
          <w:p>
            <w:pPr>
              <w:jc w:val="center"/>
              <w:spacing w:after="0" w:line="183" w:lineRule="exact"/>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Target</w:t>
            </w:r>
          </w:p>
        </w:tc>
        <w:tc>
          <w:tcPr>
            <w:tcW w:w="2240" w:type="dxa"/>
            <w:vAlign w:val="bottom"/>
            <w:tcBorders>
              <w:bottom w:val="single" w:sz="8" w:color="auto"/>
            </w:tcBorders>
          </w:tcPr>
          <w:p>
            <w:pPr>
              <w:jc w:val="center"/>
              <w:ind w:left="99"/>
              <w:spacing w:after="0" w:line="183" w:lineRule="exact"/>
              <w:rPr>
                <w:sz w:val="20"/>
                <w:szCs w:val="20"/>
                <w:color w:val="auto"/>
              </w:rPr>
            </w:pPr>
            <w:r>
              <w:rPr>
                <w:rFonts w:ascii="Arial" w:cs="Arial" w:eastAsia="Arial" w:hAnsi="Arial"/>
                <w:sz w:val="16"/>
                <w:szCs w:val="16"/>
                <w:color w:val="auto"/>
              </w:rPr>
              <w:t>100%</w:t>
            </w:r>
          </w:p>
        </w:tc>
        <w:tc>
          <w:tcPr>
            <w:tcW w:w="1940" w:type="dxa"/>
            <w:vAlign w:val="bottom"/>
            <w:tcBorders>
              <w:bottom w:val="single" w:sz="8" w:color="auto"/>
            </w:tcBorders>
          </w:tcPr>
          <w:p>
            <w:pPr>
              <w:jc w:val="center"/>
              <w:ind w:left="259"/>
              <w:spacing w:after="0" w:line="183" w:lineRule="exact"/>
              <w:rPr>
                <w:sz w:val="20"/>
                <w:szCs w:val="20"/>
                <w:color w:val="auto"/>
              </w:rPr>
            </w:pPr>
            <w:r>
              <w:rPr>
                <w:rFonts w:ascii="Arial" w:cs="Arial" w:eastAsia="Arial" w:hAnsi="Arial"/>
                <w:sz w:val="16"/>
                <w:szCs w:val="16"/>
                <w:color w:val="auto"/>
              </w:rPr>
              <w:t>$780</w:t>
            </w:r>
          </w:p>
        </w:tc>
        <w:tc>
          <w:tcPr>
            <w:tcW w:w="2480" w:type="dxa"/>
            <w:vAlign w:val="bottom"/>
            <w:tcBorders>
              <w:bottom w:val="single" w:sz="8" w:color="auto"/>
            </w:tcBorders>
          </w:tcPr>
          <w:p>
            <w:pPr>
              <w:jc w:val="center"/>
              <w:ind w:left="159"/>
              <w:spacing w:after="0" w:line="183" w:lineRule="exact"/>
              <w:rPr>
                <w:sz w:val="20"/>
                <w:szCs w:val="20"/>
                <w:color w:val="auto"/>
              </w:rPr>
            </w:pPr>
            <w:r>
              <w:rPr>
                <w:rFonts w:ascii="Arial" w:cs="Arial" w:eastAsia="Arial" w:hAnsi="Arial"/>
                <w:sz w:val="16"/>
                <w:szCs w:val="16"/>
                <w:color w:val="auto"/>
              </w:rPr>
              <w:t>$493</w:t>
            </w:r>
          </w:p>
        </w:tc>
        <w:tc>
          <w:tcPr>
            <w:tcW w:w="19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auto"/>
            </w:tcBorders>
            <w:shd w:val="clear" w:color="auto" w:fill="CCCCCC"/>
          </w:tcPr>
          <w:p>
            <w:pPr>
              <w:ind w:left="60"/>
              <w:spacing w:after="0" w:line="183" w:lineRule="exact"/>
              <w:rPr>
                <w:sz w:val="20"/>
                <w:szCs w:val="20"/>
                <w:color w:val="auto"/>
              </w:rPr>
            </w:pPr>
            <w:r>
              <w:rPr>
                <w:rFonts w:ascii="Arial" w:cs="Arial" w:eastAsia="Arial" w:hAnsi="Arial"/>
                <w:sz w:val="16"/>
                <w:szCs w:val="16"/>
                <w:color w:val="auto"/>
              </w:rPr>
              <w:t>Threshold</w:t>
            </w:r>
          </w:p>
        </w:tc>
        <w:tc>
          <w:tcPr>
            <w:tcW w:w="2240" w:type="dxa"/>
            <w:vAlign w:val="bottom"/>
            <w:tcBorders>
              <w:bottom w:val="single" w:sz="8" w:color="auto"/>
            </w:tcBorders>
            <w:shd w:val="clear" w:color="auto" w:fill="CCCCCC"/>
          </w:tcPr>
          <w:p>
            <w:pPr>
              <w:jc w:val="center"/>
              <w:ind w:left="79"/>
              <w:spacing w:after="0" w:line="183" w:lineRule="exact"/>
              <w:rPr>
                <w:sz w:val="20"/>
                <w:szCs w:val="20"/>
                <w:color w:val="auto"/>
              </w:rPr>
            </w:pPr>
            <w:r>
              <w:rPr>
                <w:rFonts w:ascii="Arial" w:cs="Arial" w:eastAsia="Arial" w:hAnsi="Arial"/>
                <w:sz w:val="16"/>
                <w:szCs w:val="16"/>
                <w:color w:val="auto"/>
                <w:w w:val="99"/>
              </w:rPr>
              <w:t>25%</w:t>
            </w:r>
          </w:p>
        </w:tc>
        <w:tc>
          <w:tcPr>
            <w:tcW w:w="1940" w:type="dxa"/>
            <w:vAlign w:val="bottom"/>
            <w:tcBorders>
              <w:bottom w:val="single" w:sz="8" w:color="auto"/>
            </w:tcBorders>
            <w:shd w:val="clear" w:color="auto" w:fill="CCCCCC"/>
          </w:tcPr>
          <w:p>
            <w:pPr>
              <w:jc w:val="center"/>
              <w:ind w:left="259"/>
              <w:spacing w:after="0" w:line="183" w:lineRule="exact"/>
              <w:rPr>
                <w:sz w:val="20"/>
                <w:szCs w:val="20"/>
                <w:color w:val="auto"/>
              </w:rPr>
            </w:pPr>
            <w:r>
              <w:rPr>
                <w:rFonts w:ascii="Arial" w:cs="Arial" w:eastAsia="Arial" w:hAnsi="Arial"/>
                <w:sz w:val="16"/>
                <w:szCs w:val="16"/>
                <w:color w:val="auto"/>
              </w:rPr>
              <w:t>$702</w:t>
            </w:r>
          </w:p>
        </w:tc>
        <w:tc>
          <w:tcPr>
            <w:tcW w:w="2480" w:type="dxa"/>
            <w:vAlign w:val="bottom"/>
            <w:tcBorders>
              <w:bottom w:val="single" w:sz="8" w:color="auto"/>
            </w:tcBorders>
            <w:shd w:val="clear" w:color="auto" w:fill="CCCCCC"/>
          </w:tcPr>
          <w:p>
            <w:pPr>
              <w:jc w:val="center"/>
              <w:ind w:left="159"/>
              <w:spacing w:after="0" w:line="183" w:lineRule="exact"/>
              <w:rPr>
                <w:sz w:val="20"/>
                <w:szCs w:val="20"/>
                <w:color w:val="auto"/>
              </w:rPr>
            </w:pPr>
            <w:r>
              <w:rPr>
                <w:rFonts w:ascii="Arial" w:cs="Arial" w:eastAsia="Arial" w:hAnsi="Arial"/>
                <w:sz w:val="16"/>
                <w:szCs w:val="16"/>
                <w:color w:val="auto"/>
              </w:rPr>
              <w:t>$444</w:t>
            </w:r>
          </w:p>
        </w:tc>
        <w:tc>
          <w:tcPr>
            <w:tcW w:w="1940" w:type="dxa"/>
            <w:vAlign w:val="bottom"/>
            <w:tcBorders>
              <w:bottom w:val="single" w:sz="8" w:color="auto"/>
            </w:tcBorders>
            <w:shd w:val="clear" w:color="auto" w:fill="CCCCCC"/>
          </w:tcPr>
          <w:p>
            <w:pPr>
              <w:jc w:val="center"/>
              <w:spacing w:after="0" w:line="183"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5920" w:firstLine="8"/>
        <w:spacing w:after="0" w:line="258" w:lineRule="auto"/>
        <w:tabs>
          <w:tab w:leader="none" w:pos="96" w:val="left"/>
        </w:tabs>
        <w:numPr>
          <w:ilvl w:val="0"/>
          <w:numId w:val="39"/>
        </w:numPr>
        <w:rPr>
          <w:rFonts w:ascii="Arial" w:cs="Arial" w:eastAsia="Arial" w:hAnsi="Arial"/>
          <w:sz w:val="14"/>
          <w:szCs w:val="14"/>
          <w:color w:val="auto"/>
        </w:rPr>
      </w:pPr>
      <w:r>
        <w:rPr>
          <w:rFonts w:ascii="Arial" w:cs="Arial" w:eastAsia="Arial" w:hAnsi="Arial"/>
          <w:sz w:val="14"/>
          <w:szCs w:val="14"/>
          <w:color w:val="auto"/>
        </w:rPr>
        <w:t>Straight-line interpolation is used to determine achievement between specified goals. ** Includes unallocated corporate expenses.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0" w:type="dxa"/>
            <w:vAlign w:val="bottom"/>
          </w:tcPr>
          <w:p>
            <w:pPr>
              <w:spacing w:after="0"/>
              <w:rPr>
                <w:sz w:val="20"/>
                <w:szCs w:val="20"/>
                <w:color w:val="auto"/>
              </w:rPr>
            </w:pPr>
            <w:r>
              <w:rPr>
                <w:rFonts w:ascii="Arial" w:cs="Arial" w:eastAsia="Arial" w:hAnsi="Arial"/>
                <w:sz w:val="16"/>
                <w:szCs w:val="16"/>
                <w:b w:val="1"/>
                <w:bCs w:val="1"/>
                <w:color w:val="auto"/>
              </w:rPr>
              <w:t>ADJUSTED FREE CASH FLOW GOALS</w:t>
            </w:r>
          </w:p>
        </w:tc>
        <w:tc>
          <w:tcPr>
            <w:tcW w:w="294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353"/>
        </w:trPr>
        <w:tc>
          <w:tcPr>
            <w:tcW w:w="3400" w:type="dxa"/>
            <w:vAlign w:val="bottom"/>
          </w:tcPr>
          <w:p>
            <w:pPr>
              <w:spacing w:after="0"/>
              <w:rPr>
                <w:sz w:val="24"/>
                <w:szCs w:val="24"/>
                <w:color w:val="auto"/>
              </w:rPr>
            </w:pPr>
          </w:p>
        </w:tc>
        <w:tc>
          <w:tcPr>
            <w:tcW w:w="2940" w:type="dxa"/>
            <w:vAlign w:val="bottom"/>
          </w:tcPr>
          <w:p>
            <w:pPr>
              <w:jc w:val="center"/>
              <w:ind w:right="1059"/>
              <w:spacing w:after="0"/>
              <w:rPr>
                <w:sz w:val="20"/>
                <w:szCs w:val="20"/>
                <w:color w:val="auto"/>
              </w:rPr>
            </w:pPr>
            <w:r>
              <w:rPr>
                <w:rFonts w:ascii="Arial" w:cs="Arial" w:eastAsia="Arial" w:hAnsi="Arial"/>
                <w:sz w:val="16"/>
                <w:szCs w:val="16"/>
                <w:b w:val="1"/>
                <w:bCs w:val="1"/>
                <w:color w:val="auto"/>
              </w:rPr>
              <w:t>Opportunity</w:t>
            </w:r>
          </w:p>
        </w:tc>
        <w:tc>
          <w:tcPr>
            <w:tcW w:w="5080" w:type="dxa"/>
            <w:vAlign w:val="bottom"/>
          </w:tcPr>
          <w:p>
            <w:pPr>
              <w:jc w:val="center"/>
              <w:ind w:right="539"/>
              <w:spacing w:after="0"/>
              <w:rPr>
                <w:sz w:val="20"/>
                <w:szCs w:val="20"/>
                <w:color w:val="auto"/>
              </w:rPr>
            </w:pPr>
            <w:r>
              <w:rPr>
                <w:rFonts w:ascii="Arial" w:cs="Arial" w:eastAsia="Arial" w:hAnsi="Arial"/>
                <w:sz w:val="16"/>
                <w:szCs w:val="16"/>
                <w:b w:val="1"/>
                <w:bCs w:val="1"/>
                <w:color w:val="auto"/>
              </w:rPr>
              <w:t>Global</w:t>
            </w:r>
          </w:p>
        </w:tc>
      </w:tr>
      <w:tr>
        <w:trPr>
          <w:trHeight w:val="214"/>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Achievement Level</w:t>
            </w:r>
          </w:p>
        </w:tc>
        <w:tc>
          <w:tcPr>
            <w:tcW w:w="2940" w:type="dxa"/>
            <w:vAlign w:val="bottom"/>
            <w:tcBorders>
              <w:bottom w:val="single" w:sz="8" w:color="auto"/>
            </w:tcBorders>
          </w:tcPr>
          <w:p>
            <w:pPr>
              <w:jc w:val="center"/>
              <w:ind w:right="1059"/>
              <w:spacing w:after="0"/>
              <w:rPr>
                <w:sz w:val="20"/>
                <w:szCs w:val="20"/>
                <w:color w:val="auto"/>
              </w:rPr>
            </w:pPr>
            <w:r>
              <w:rPr>
                <w:rFonts w:ascii="Arial" w:cs="Arial" w:eastAsia="Arial" w:hAnsi="Arial"/>
                <w:sz w:val="16"/>
                <w:szCs w:val="16"/>
                <w:b w:val="1"/>
                <w:bCs w:val="1"/>
                <w:color w:val="auto"/>
                <w:w w:val="99"/>
              </w:rPr>
              <w:t>(% of Target)*</w:t>
            </w:r>
          </w:p>
        </w:tc>
        <w:tc>
          <w:tcPr>
            <w:tcW w:w="5080" w:type="dxa"/>
            <w:vAlign w:val="bottom"/>
            <w:tcBorders>
              <w:bottom w:val="single" w:sz="8" w:color="auto"/>
            </w:tcBorders>
          </w:tcPr>
          <w:p>
            <w:pPr>
              <w:jc w:val="center"/>
              <w:ind w:right="539"/>
              <w:spacing w:after="0"/>
              <w:rPr>
                <w:sz w:val="20"/>
                <w:szCs w:val="20"/>
                <w:color w:val="auto"/>
              </w:rPr>
            </w:pPr>
            <w:r>
              <w:rPr>
                <w:rFonts w:ascii="Arial" w:cs="Arial" w:eastAsia="Arial" w:hAnsi="Arial"/>
                <w:sz w:val="16"/>
                <w:szCs w:val="16"/>
                <w:b w:val="1"/>
                <w:bCs w:val="1"/>
                <w:color w:val="auto"/>
              </w:rPr>
              <w:t>Dollars in Millions</w:t>
            </w:r>
          </w:p>
        </w:tc>
      </w:tr>
      <w:tr>
        <w:trPr>
          <w:trHeight w:val="189"/>
        </w:trPr>
        <w:tc>
          <w:tcPr>
            <w:tcW w:w="34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6"/>
                <w:szCs w:val="16"/>
                <w:color w:val="auto"/>
              </w:rPr>
              <w:t>Maximum</w:t>
            </w:r>
          </w:p>
        </w:tc>
        <w:tc>
          <w:tcPr>
            <w:tcW w:w="2940" w:type="dxa"/>
            <w:vAlign w:val="bottom"/>
            <w:tcBorders>
              <w:bottom w:val="single" w:sz="8" w:color="auto"/>
            </w:tcBorders>
            <w:shd w:val="clear" w:color="auto" w:fill="CCCCCC"/>
          </w:tcPr>
          <w:p>
            <w:pPr>
              <w:jc w:val="center"/>
              <w:ind w:right="1079"/>
              <w:spacing w:after="0"/>
              <w:rPr>
                <w:sz w:val="20"/>
                <w:szCs w:val="20"/>
                <w:color w:val="auto"/>
              </w:rPr>
            </w:pPr>
            <w:r>
              <w:rPr>
                <w:rFonts w:ascii="Arial" w:cs="Arial" w:eastAsia="Arial" w:hAnsi="Arial"/>
                <w:sz w:val="16"/>
                <w:szCs w:val="16"/>
                <w:color w:val="auto"/>
              </w:rPr>
              <w:t>200%</w:t>
            </w:r>
          </w:p>
        </w:tc>
        <w:tc>
          <w:tcPr>
            <w:tcW w:w="5080" w:type="dxa"/>
            <w:vAlign w:val="bottom"/>
            <w:tcBorders>
              <w:bottom w:val="single" w:sz="8" w:color="auto"/>
            </w:tcBorders>
            <w:shd w:val="clear" w:color="auto" w:fill="CCCCCC"/>
          </w:tcPr>
          <w:p>
            <w:pPr>
              <w:jc w:val="center"/>
              <w:ind w:right="519"/>
              <w:spacing w:after="0"/>
              <w:rPr>
                <w:sz w:val="20"/>
                <w:szCs w:val="20"/>
                <w:color w:val="auto"/>
              </w:rPr>
            </w:pPr>
            <w:r>
              <w:rPr>
                <w:rFonts w:ascii="Arial" w:cs="Arial" w:eastAsia="Arial" w:hAnsi="Arial"/>
                <w:sz w:val="16"/>
                <w:szCs w:val="16"/>
                <w:color w:val="auto"/>
              </w:rPr>
              <w:t>$426</w:t>
            </w:r>
          </w:p>
        </w:tc>
      </w:tr>
      <w:tr>
        <w:trPr>
          <w:trHeight w:val="183"/>
        </w:trPr>
        <w:tc>
          <w:tcPr>
            <w:tcW w:w="340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Target</w:t>
            </w:r>
          </w:p>
        </w:tc>
        <w:tc>
          <w:tcPr>
            <w:tcW w:w="2940" w:type="dxa"/>
            <w:vAlign w:val="bottom"/>
            <w:tcBorders>
              <w:bottom w:val="single" w:sz="8" w:color="auto"/>
            </w:tcBorders>
          </w:tcPr>
          <w:p>
            <w:pPr>
              <w:jc w:val="center"/>
              <w:ind w:right="1079"/>
              <w:spacing w:after="0" w:line="183" w:lineRule="exact"/>
              <w:rPr>
                <w:sz w:val="20"/>
                <w:szCs w:val="20"/>
                <w:color w:val="auto"/>
              </w:rPr>
            </w:pPr>
            <w:r>
              <w:rPr>
                <w:rFonts w:ascii="Arial" w:cs="Arial" w:eastAsia="Arial" w:hAnsi="Arial"/>
                <w:sz w:val="16"/>
                <w:szCs w:val="16"/>
                <w:color w:val="auto"/>
              </w:rPr>
              <w:t>100%</w:t>
            </w:r>
          </w:p>
        </w:tc>
        <w:tc>
          <w:tcPr>
            <w:tcW w:w="5080" w:type="dxa"/>
            <w:vAlign w:val="bottom"/>
            <w:tcBorders>
              <w:bottom w:val="single" w:sz="8" w:color="auto"/>
            </w:tcBorders>
          </w:tcPr>
          <w:p>
            <w:pPr>
              <w:jc w:val="center"/>
              <w:ind w:right="519"/>
              <w:spacing w:after="0" w:line="183" w:lineRule="exact"/>
              <w:rPr>
                <w:sz w:val="20"/>
                <w:szCs w:val="20"/>
                <w:color w:val="auto"/>
              </w:rPr>
            </w:pPr>
            <w:r>
              <w:rPr>
                <w:rFonts w:ascii="Arial" w:cs="Arial" w:eastAsia="Arial" w:hAnsi="Arial"/>
                <w:sz w:val="16"/>
                <w:szCs w:val="16"/>
                <w:color w:val="auto"/>
              </w:rPr>
              <w:t>$355</w:t>
            </w:r>
          </w:p>
        </w:tc>
      </w:tr>
      <w:tr>
        <w:trPr>
          <w:trHeight w:val="190"/>
        </w:trPr>
        <w:tc>
          <w:tcPr>
            <w:tcW w:w="3400" w:type="dxa"/>
            <w:vAlign w:val="bottom"/>
            <w:tcBorders>
              <w:bottom w:val="single" w:sz="8" w:color="auto"/>
            </w:tcBorders>
            <w:shd w:val="clear" w:color="auto" w:fill="CCCCCC"/>
          </w:tcPr>
          <w:p>
            <w:pPr>
              <w:ind w:left="60"/>
              <w:spacing w:after="0" w:line="183" w:lineRule="exact"/>
              <w:rPr>
                <w:sz w:val="20"/>
                <w:szCs w:val="20"/>
                <w:color w:val="auto"/>
              </w:rPr>
            </w:pPr>
            <w:r>
              <w:rPr>
                <w:rFonts w:ascii="Arial" w:cs="Arial" w:eastAsia="Arial" w:hAnsi="Arial"/>
                <w:sz w:val="16"/>
                <w:szCs w:val="16"/>
                <w:color w:val="auto"/>
              </w:rPr>
              <w:t>Threshold</w:t>
            </w:r>
          </w:p>
        </w:tc>
        <w:tc>
          <w:tcPr>
            <w:tcW w:w="2940" w:type="dxa"/>
            <w:vAlign w:val="bottom"/>
            <w:tcBorders>
              <w:bottom w:val="single" w:sz="8" w:color="auto"/>
            </w:tcBorders>
            <w:shd w:val="clear" w:color="auto" w:fill="CCCCCC"/>
          </w:tcPr>
          <w:p>
            <w:pPr>
              <w:jc w:val="center"/>
              <w:ind w:right="1059"/>
              <w:spacing w:after="0" w:line="183" w:lineRule="exact"/>
              <w:rPr>
                <w:sz w:val="20"/>
                <w:szCs w:val="20"/>
                <w:color w:val="auto"/>
              </w:rPr>
            </w:pPr>
            <w:r>
              <w:rPr>
                <w:rFonts w:ascii="Arial" w:cs="Arial" w:eastAsia="Arial" w:hAnsi="Arial"/>
                <w:sz w:val="16"/>
                <w:szCs w:val="16"/>
                <w:color w:val="auto"/>
                <w:w w:val="99"/>
              </w:rPr>
              <w:t>25%</w:t>
            </w:r>
          </w:p>
        </w:tc>
        <w:tc>
          <w:tcPr>
            <w:tcW w:w="5080" w:type="dxa"/>
            <w:vAlign w:val="bottom"/>
            <w:tcBorders>
              <w:bottom w:val="single" w:sz="8" w:color="auto"/>
            </w:tcBorders>
            <w:shd w:val="clear" w:color="auto" w:fill="CCCCCC"/>
          </w:tcPr>
          <w:p>
            <w:pPr>
              <w:jc w:val="center"/>
              <w:ind w:right="519"/>
              <w:spacing w:after="0" w:line="183" w:lineRule="exact"/>
              <w:rPr>
                <w:sz w:val="20"/>
                <w:szCs w:val="20"/>
                <w:color w:val="auto"/>
              </w:rPr>
            </w:pPr>
            <w:r>
              <w:rPr>
                <w:rFonts w:ascii="Arial" w:cs="Arial" w:eastAsia="Arial" w:hAnsi="Arial"/>
                <w:sz w:val="16"/>
                <w:szCs w:val="16"/>
                <w:color w:val="auto"/>
              </w:rPr>
              <w:t>$302</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Straight-line interpolation is used to determine achievement between specified goals.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Performance Goals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Individual performance goals were established for each NEO based on key objectives. For our CEO, objectives were reviewed and approved by the Committee. For our other NEOs, objectives were reviewed with, and agreed to, by our CEO and approved by the Committee.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weighting for each component of the 2018 AIP is set forth below:</w:t>
      </w:r>
    </w:p>
    <w:p>
      <w:pPr>
        <w:spacing w:after="0" w:line="181" w:lineRule="exact"/>
        <w:rPr>
          <w:sz w:val="20"/>
          <w:szCs w:val="20"/>
          <w:color w:val="auto"/>
        </w:rPr>
      </w:pPr>
    </w:p>
    <w:tbl>
      <w:tblPr>
        <w:tblLayout w:type="fixed"/>
        <w:tblInd w:w="1160" w:type="dxa"/>
        <w:tblCellMar>
          <w:top w:w="0" w:type="dxa"/>
          <w:left w:w="0" w:type="dxa"/>
          <w:bottom w:w="0" w:type="dxa"/>
          <w:right w:w="0" w:type="dxa"/>
        </w:tblCellMar>
      </w:tblPr>
      <w:tr>
        <w:trPr>
          <w:trHeight w:val="21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NEO</w:t>
            </w:r>
          </w:p>
        </w:tc>
        <w:tc>
          <w:tcPr>
            <w:tcW w:w="400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Component</w:t>
            </w:r>
          </w:p>
        </w:tc>
        <w:tc>
          <w:tcPr>
            <w:tcW w:w="310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Weighting</w:t>
            </w:r>
          </w:p>
        </w:tc>
      </w:tr>
      <w:tr>
        <w:trPr>
          <w:trHeight w:val="189"/>
        </w:trPr>
        <w:tc>
          <w:tcPr>
            <w:tcW w:w="202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6"/>
                <w:szCs w:val="16"/>
                <w:color w:val="auto"/>
              </w:rPr>
              <w:t>CEO, CFO, GC</w:t>
            </w:r>
          </w:p>
        </w:tc>
        <w:tc>
          <w:tcPr>
            <w:tcW w:w="4000" w:type="dxa"/>
            <w:vAlign w:val="bottom"/>
            <w:tcBorders>
              <w:bottom w:val="single" w:sz="8" w:color="auto"/>
            </w:tcBorders>
            <w:shd w:val="clear" w:color="auto" w:fill="CCCCCC"/>
          </w:tcPr>
          <w:p>
            <w:pPr>
              <w:ind w:left="540"/>
              <w:spacing w:after="0"/>
              <w:rPr>
                <w:sz w:val="20"/>
                <w:szCs w:val="20"/>
                <w:color w:val="auto"/>
              </w:rPr>
            </w:pPr>
            <w:r>
              <w:rPr>
                <w:rFonts w:ascii="Arial" w:cs="Arial" w:eastAsia="Arial" w:hAnsi="Arial"/>
                <w:sz w:val="16"/>
                <w:szCs w:val="16"/>
                <w:color w:val="auto"/>
              </w:rPr>
              <w:t>Global Adjusted EBITDA</w:t>
            </w:r>
          </w:p>
        </w:tc>
        <w:tc>
          <w:tcPr>
            <w:tcW w:w="3100" w:type="dxa"/>
            <w:vAlign w:val="bottom"/>
            <w:tcBorders>
              <w:bottom w:val="single" w:sz="8" w:color="auto"/>
            </w:tcBorders>
            <w:shd w:val="clear" w:color="auto" w:fill="CCCCCC"/>
          </w:tcPr>
          <w:p>
            <w:pPr>
              <w:jc w:val="center"/>
              <w:ind w:right="199"/>
              <w:spacing w:after="0"/>
              <w:rPr>
                <w:sz w:val="20"/>
                <w:szCs w:val="20"/>
                <w:color w:val="auto"/>
              </w:rPr>
            </w:pPr>
            <w:r>
              <w:rPr>
                <w:rFonts w:ascii="Arial" w:cs="Arial" w:eastAsia="Arial" w:hAnsi="Arial"/>
                <w:sz w:val="16"/>
                <w:szCs w:val="16"/>
                <w:color w:val="auto"/>
              </w:rPr>
              <w:t>50%</w:t>
            </w:r>
          </w:p>
        </w:tc>
      </w:tr>
      <w:tr>
        <w:trPr>
          <w:trHeight w:val="183"/>
        </w:trPr>
        <w:tc>
          <w:tcPr>
            <w:tcW w:w="20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Regional Presidents</w:t>
            </w:r>
          </w:p>
        </w:tc>
        <w:tc>
          <w:tcPr>
            <w:tcW w:w="400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6"/>
                <w:szCs w:val="16"/>
                <w:color w:val="auto"/>
              </w:rPr>
              <w:t>Global/Regional Adjusted EBITDA</w:t>
            </w:r>
          </w:p>
        </w:tc>
        <w:tc>
          <w:tcPr>
            <w:tcW w:w="3100" w:type="dxa"/>
            <w:vAlign w:val="bottom"/>
            <w:tcBorders>
              <w:bottom w:val="single" w:sz="8" w:color="auto"/>
            </w:tcBorders>
          </w:tcPr>
          <w:p>
            <w:pPr>
              <w:jc w:val="center"/>
              <w:ind w:right="199"/>
              <w:spacing w:after="0" w:line="183" w:lineRule="exact"/>
              <w:rPr>
                <w:sz w:val="20"/>
                <w:szCs w:val="20"/>
                <w:color w:val="auto"/>
              </w:rPr>
            </w:pPr>
            <w:r>
              <w:rPr>
                <w:rFonts w:ascii="Arial" w:cs="Arial" w:eastAsia="Arial" w:hAnsi="Arial"/>
                <w:sz w:val="16"/>
                <w:szCs w:val="16"/>
                <w:color w:val="auto"/>
              </w:rPr>
              <w:t>20%/30%</w:t>
            </w:r>
          </w:p>
        </w:tc>
      </w:tr>
      <w:tr>
        <w:trPr>
          <w:trHeight w:val="183"/>
        </w:trPr>
        <w:tc>
          <w:tcPr>
            <w:tcW w:w="2020" w:type="dxa"/>
            <w:vAlign w:val="bottom"/>
            <w:tcBorders>
              <w:bottom w:val="single" w:sz="8" w:color="auto"/>
            </w:tcBorders>
            <w:shd w:val="clear" w:color="auto" w:fill="CCCCCC"/>
          </w:tcPr>
          <w:p>
            <w:pPr>
              <w:ind w:left="40"/>
              <w:spacing w:after="0" w:line="183" w:lineRule="exact"/>
              <w:rPr>
                <w:sz w:val="20"/>
                <w:szCs w:val="20"/>
                <w:color w:val="auto"/>
              </w:rPr>
            </w:pPr>
            <w:r>
              <w:rPr>
                <w:rFonts w:ascii="Arial" w:cs="Arial" w:eastAsia="Arial" w:hAnsi="Arial"/>
                <w:sz w:val="16"/>
                <w:szCs w:val="16"/>
                <w:color w:val="auto"/>
              </w:rPr>
              <w:t>All</w:t>
            </w:r>
          </w:p>
        </w:tc>
        <w:tc>
          <w:tcPr>
            <w:tcW w:w="4000" w:type="dxa"/>
            <w:vAlign w:val="bottom"/>
            <w:tcBorders>
              <w:bottom w:val="single" w:sz="8" w:color="auto"/>
            </w:tcBorders>
            <w:shd w:val="clear" w:color="auto" w:fill="CCCCCC"/>
          </w:tcPr>
          <w:p>
            <w:pPr>
              <w:ind w:left="540"/>
              <w:spacing w:after="0" w:line="183" w:lineRule="exact"/>
              <w:rPr>
                <w:sz w:val="20"/>
                <w:szCs w:val="20"/>
                <w:color w:val="auto"/>
              </w:rPr>
            </w:pPr>
            <w:r>
              <w:rPr>
                <w:rFonts w:ascii="Arial" w:cs="Arial" w:eastAsia="Arial" w:hAnsi="Arial"/>
                <w:sz w:val="16"/>
                <w:szCs w:val="16"/>
                <w:color w:val="auto"/>
              </w:rPr>
              <w:t>Global Adjusted Free Cash Flow</w:t>
            </w:r>
          </w:p>
        </w:tc>
        <w:tc>
          <w:tcPr>
            <w:tcW w:w="3100" w:type="dxa"/>
            <w:vAlign w:val="bottom"/>
            <w:tcBorders>
              <w:bottom w:val="single" w:sz="8" w:color="auto"/>
            </w:tcBorders>
            <w:shd w:val="clear" w:color="auto" w:fill="CCCCCC"/>
          </w:tcPr>
          <w:p>
            <w:pPr>
              <w:jc w:val="center"/>
              <w:ind w:right="199"/>
              <w:spacing w:after="0" w:line="183" w:lineRule="exact"/>
              <w:rPr>
                <w:sz w:val="20"/>
                <w:szCs w:val="20"/>
                <w:color w:val="auto"/>
              </w:rPr>
            </w:pPr>
            <w:r>
              <w:rPr>
                <w:rFonts w:ascii="Arial" w:cs="Arial" w:eastAsia="Arial" w:hAnsi="Arial"/>
                <w:sz w:val="16"/>
                <w:szCs w:val="16"/>
                <w:color w:val="auto"/>
              </w:rPr>
              <w:t>25%</w:t>
            </w:r>
          </w:p>
        </w:tc>
      </w:tr>
      <w:tr>
        <w:trPr>
          <w:trHeight w:val="190"/>
        </w:trPr>
        <w:tc>
          <w:tcPr>
            <w:tcW w:w="20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All</w:t>
            </w:r>
          </w:p>
        </w:tc>
        <w:tc>
          <w:tcPr>
            <w:tcW w:w="400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6"/>
                <w:szCs w:val="16"/>
                <w:color w:val="auto"/>
              </w:rPr>
              <w:t>Individual Performance</w:t>
            </w:r>
          </w:p>
        </w:tc>
        <w:tc>
          <w:tcPr>
            <w:tcW w:w="3100" w:type="dxa"/>
            <w:vAlign w:val="bottom"/>
            <w:tcBorders>
              <w:bottom w:val="single" w:sz="8" w:color="auto"/>
            </w:tcBorders>
          </w:tcPr>
          <w:p>
            <w:pPr>
              <w:jc w:val="center"/>
              <w:ind w:right="199"/>
              <w:spacing w:after="0" w:line="183" w:lineRule="exact"/>
              <w:rPr>
                <w:sz w:val="20"/>
                <w:szCs w:val="20"/>
                <w:color w:val="auto"/>
              </w:rPr>
            </w:pPr>
            <w:r>
              <w:rPr>
                <w:rFonts w:ascii="Arial" w:cs="Arial" w:eastAsia="Arial" w:hAnsi="Arial"/>
                <w:sz w:val="16"/>
                <w:szCs w:val="16"/>
                <w:color w:val="auto"/>
              </w:rPr>
              <w:t>25%</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and Payouts</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global payout under the Adjusted EBITDA component of the 2018 AIP was 106% of target. The payout level resulted from the Company’s attainment of reported Adjusted EBITDA of $ 781 million, increased to $790 million based on a $9 million currency adjustment pursuant to the terms of the program. While actual Adjusted Free Cash Flow of $430 million indicated an above-target payout, management recommended, and the Committee approved, a target payout in light of the Company’s overall financial performance for 2018. Therefore, the payout under the Adjusted Free Cash Flow component of the 2018 AIP was determined to be at target. Payouts for the individual component of the 2018 AIP for each NEO were based on an assessment of each executive’s performance relative to his objectives. Objectives for each NEO were related to the key duties for his respective position. Accordingly, actual payouts under the 2018 AIP, as a percentage of target for each NEO, were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Individual</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Adjusted Free</w:t>
            </w:r>
          </w:p>
        </w:tc>
        <w:tc>
          <w:tcPr>
            <w:tcW w:w="1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4"/>
        </w:trPr>
        <w:tc>
          <w:tcPr>
            <w:tcW w:w="252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Total Actual</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Performance</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Cash Flow</w:t>
            </w:r>
          </w:p>
        </w:tc>
        <w:tc>
          <w:tcPr>
            <w:tcW w:w="1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Adjusted EBITDA</w:t>
            </w:r>
          </w:p>
        </w:tc>
        <w:tc>
          <w:tcPr>
            <w:tcW w:w="1360" w:type="dxa"/>
            <w:vAlign w:val="bottom"/>
            <w:tcBorders>
              <w:bottom w:val="single" w:sz="8" w:color="auto"/>
            </w:tcBorders>
          </w:tcPr>
          <w:p>
            <w:pPr>
              <w:spacing w:after="0"/>
              <w:rPr>
                <w:sz w:val="18"/>
                <w:szCs w:val="18"/>
                <w:color w:val="auto"/>
              </w:rPr>
            </w:pPr>
          </w:p>
        </w:tc>
      </w:tr>
      <w:tr>
        <w:trPr>
          <w:trHeight w:val="171"/>
        </w:trPr>
        <w:tc>
          <w:tcPr>
            <w:tcW w:w="2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rPr>
              <w:t>Global</w:t>
            </w:r>
          </w:p>
        </w:tc>
        <w:tc>
          <w:tcPr>
            <w:tcW w:w="1740" w:type="dxa"/>
            <w:vAlign w:val="bottom"/>
          </w:tcPr>
          <w:p>
            <w:pPr>
              <w:ind w:left="340"/>
              <w:spacing w:after="0" w:line="171" w:lineRule="exact"/>
              <w:rPr>
                <w:sz w:val="20"/>
                <w:szCs w:val="20"/>
                <w:color w:val="auto"/>
              </w:rPr>
            </w:pPr>
            <w:r>
              <w:rPr>
                <w:rFonts w:ascii="Arial" w:cs="Arial" w:eastAsia="Arial" w:hAnsi="Arial"/>
                <w:sz w:val="16"/>
                <w:szCs w:val="16"/>
                <w:b w:val="1"/>
                <w:bCs w:val="1"/>
                <w:color w:val="auto"/>
              </w:rPr>
              <w:t>Americas</w:t>
            </w:r>
          </w:p>
        </w:tc>
        <w:tc>
          <w:tcPr>
            <w:tcW w:w="1360" w:type="dxa"/>
            <w:vAlign w:val="bottom"/>
          </w:tcPr>
          <w:p>
            <w:pPr>
              <w:jc w:val="center"/>
              <w:ind w:right="159"/>
              <w:spacing w:after="0" w:line="171" w:lineRule="exact"/>
              <w:rPr>
                <w:sz w:val="20"/>
                <w:szCs w:val="20"/>
                <w:color w:val="auto"/>
              </w:rPr>
            </w:pPr>
            <w:r>
              <w:rPr>
                <w:rFonts w:ascii="Arial" w:cs="Arial" w:eastAsia="Arial" w:hAnsi="Arial"/>
                <w:sz w:val="16"/>
                <w:szCs w:val="16"/>
                <w:b w:val="1"/>
                <w:bCs w:val="1"/>
                <w:color w:val="auto"/>
                <w:w w:val="99"/>
              </w:rPr>
              <w:t>International</w:t>
            </w:r>
          </w:p>
        </w:tc>
      </w:tr>
      <w:tr>
        <w:trPr>
          <w:trHeight w:val="214"/>
        </w:trPr>
        <w:tc>
          <w:tcPr>
            <w:tcW w:w="252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NEO</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Payout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Payout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Payout</w:t>
            </w:r>
          </w:p>
        </w:tc>
        <w:tc>
          <w:tcPr>
            <w:tcW w:w="11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Payout</w:t>
            </w:r>
          </w:p>
        </w:tc>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Payout</w:t>
            </w: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Payout</w:t>
            </w:r>
          </w:p>
        </w:tc>
      </w:tr>
      <w:tr>
        <w:trPr>
          <w:trHeight w:val="191"/>
        </w:trPr>
        <w:tc>
          <w:tcPr>
            <w:tcW w:w="2520" w:type="dxa"/>
            <w:vAlign w:val="bottom"/>
          </w:tcPr>
          <w:p>
            <w:pPr>
              <w:ind w:left="60"/>
              <w:spacing w:after="0"/>
              <w:rPr>
                <w:sz w:val="20"/>
                <w:szCs w:val="20"/>
                <w:color w:val="auto"/>
              </w:rPr>
            </w:pPr>
            <w:r>
              <w:rPr>
                <w:rFonts w:ascii="Arial" w:cs="Arial" w:eastAsia="Arial" w:hAnsi="Arial"/>
                <w:sz w:val="16"/>
                <w:szCs w:val="16"/>
                <w:color w:val="auto"/>
              </w:rPr>
              <w:t>CEO</w:t>
            </w:r>
          </w:p>
        </w:tc>
        <w:tc>
          <w:tcPr>
            <w:tcW w:w="13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103%</w:t>
            </w:r>
          </w:p>
        </w:tc>
        <w:tc>
          <w:tcPr>
            <w:tcW w:w="1660" w:type="dxa"/>
            <w:vAlign w:val="bottom"/>
          </w:tcPr>
          <w:p>
            <w:pPr>
              <w:jc w:val="center"/>
              <w:spacing w:after="0"/>
              <w:rPr>
                <w:sz w:val="20"/>
                <w:szCs w:val="20"/>
                <w:color w:val="auto"/>
              </w:rPr>
            </w:pPr>
            <w:r>
              <w:rPr>
                <w:rFonts w:ascii="Arial" w:cs="Arial" w:eastAsia="Arial" w:hAnsi="Arial"/>
                <w:sz w:val="16"/>
                <w:szCs w:val="16"/>
                <w:color w:val="auto"/>
              </w:rPr>
              <w:t>100%</w:t>
            </w:r>
          </w:p>
        </w:tc>
        <w:tc>
          <w:tcPr>
            <w:tcW w:w="1640" w:type="dxa"/>
            <w:vAlign w:val="bottom"/>
          </w:tcPr>
          <w:p>
            <w:pPr>
              <w:jc w:val="center"/>
              <w:spacing w:after="0"/>
              <w:rPr>
                <w:sz w:val="20"/>
                <w:szCs w:val="20"/>
                <w:color w:val="auto"/>
              </w:rPr>
            </w:pPr>
            <w:r>
              <w:rPr>
                <w:rFonts w:ascii="Arial" w:cs="Arial" w:eastAsia="Arial" w:hAnsi="Arial"/>
                <w:sz w:val="16"/>
                <w:szCs w:val="16"/>
                <w:color w:val="auto"/>
              </w:rPr>
              <w:t>100%</w:t>
            </w: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106%</w:t>
            </w:r>
          </w:p>
        </w:tc>
        <w:tc>
          <w:tcPr>
            <w:tcW w:w="174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right="159"/>
              <w:spacing w:after="0"/>
              <w:rPr>
                <w:sz w:val="20"/>
                <w:szCs w:val="20"/>
                <w:color w:val="auto"/>
              </w:rPr>
            </w:pPr>
            <w:r>
              <w:rPr>
                <w:rFonts w:ascii="Arial" w:cs="Arial" w:eastAsia="Arial" w:hAnsi="Arial"/>
                <w:sz w:val="16"/>
                <w:szCs w:val="16"/>
                <w:color w:val="auto"/>
                <w:w w:val="99"/>
              </w:rPr>
              <w:t>—</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Former Interim CFO</w:t>
            </w:r>
          </w:p>
        </w:tc>
        <w:tc>
          <w:tcPr>
            <w:tcW w:w="13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103%</w:t>
            </w:r>
          </w:p>
        </w:tc>
        <w:tc>
          <w:tcPr>
            <w:tcW w:w="1660" w:type="dxa"/>
            <w:vAlign w:val="bottom"/>
          </w:tcPr>
          <w:p>
            <w:pPr>
              <w:jc w:val="center"/>
              <w:spacing w:after="0"/>
              <w:rPr>
                <w:sz w:val="20"/>
                <w:szCs w:val="20"/>
                <w:color w:val="auto"/>
              </w:rPr>
            </w:pPr>
            <w:r>
              <w:rPr>
                <w:rFonts w:ascii="Arial" w:cs="Arial" w:eastAsia="Arial" w:hAnsi="Arial"/>
                <w:sz w:val="16"/>
                <w:szCs w:val="16"/>
                <w:color w:val="auto"/>
              </w:rPr>
              <w:t>100%</w:t>
            </w:r>
          </w:p>
        </w:tc>
        <w:tc>
          <w:tcPr>
            <w:tcW w:w="1640" w:type="dxa"/>
            <w:vAlign w:val="bottom"/>
          </w:tcPr>
          <w:p>
            <w:pPr>
              <w:jc w:val="center"/>
              <w:spacing w:after="0"/>
              <w:rPr>
                <w:sz w:val="20"/>
                <w:szCs w:val="20"/>
                <w:color w:val="auto"/>
              </w:rPr>
            </w:pPr>
            <w:r>
              <w:rPr>
                <w:rFonts w:ascii="Arial" w:cs="Arial" w:eastAsia="Arial" w:hAnsi="Arial"/>
                <w:sz w:val="16"/>
                <w:szCs w:val="16"/>
                <w:color w:val="auto"/>
              </w:rPr>
              <w:t>100%</w:t>
            </w: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106%</w:t>
            </w:r>
          </w:p>
        </w:tc>
        <w:tc>
          <w:tcPr>
            <w:tcW w:w="174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right="159"/>
              <w:spacing w:after="0"/>
              <w:rPr>
                <w:sz w:val="20"/>
                <w:szCs w:val="20"/>
                <w:color w:val="auto"/>
              </w:rPr>
            </w:pPr>
            <w:r>
              <w:rPr>
                <w:rFonts w:ascii="Arial" w:cs="Arial" w:eastAsia="Arial" w:hAnsi="Arial"/>
                <w:sz w:val="16"/>
                <w:szCs w:val="16"/>
                <w:color w:val="auto"/>
                <w:w w:val="99"/>
              </w:rPr>
              <w:t>—</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President, Americas</w:t>
            </w:r>
          </w:p>
        </w:tc>
        <w:tc>
          <w:tcPr>
            <w:tcW w:w="13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139%</w:t>
            </w:r>
          </w:p>
        </w:tc>
        <w:tc>
          <w:tcPr>
            <w:tcW w:w="1660" w:type="dxa"/>
            <w:vAlign w:val="bottom"/>
          </w:tcPr>
          <w:p>
            <w:pPr>
              <w:jc w:val="center"/>
              <w:spacing w:after="0"/>
              <w:rPr>
                <w:sz w:val="20"/>
                <w:szCs w:val="20"/>
                <w:color w:val="auto"/>
              </w:rPr>
            </w:pPr>
            <w:r>
              <w:rPr>
                <w:rFonts w:ascii="Arial" w:cs="Arial" w:eastAsia="Arial" w:hAnsi="Arial"/>
                <w:sz w:val="16"/>
                <w:szCs w:val="16"/>
                <w:color w:val="auto"/>
              </w:rPr>
              <w:t>175%</w:t>
            </w:r>
          </w:p>
        </w:tc>
        <w:tc>
          <w:tcPr>
            <w:tcW w:w="1640" w:type="dxa"/>
            <w:vAlign w:val="bottom"/>
          </w:tcPr>
          <w:p>
            <w:pPr>
              <w:jc w:val="center"/>
              <w:spacing w:after="0"/>
              <w:rPr>
                <w:sz w:val="20"/>
                <w:szCs w:val="20"/>
                <w:color w:val="auto"/>
              </w:rPr>
            </w:pPr>
            <w:r>
              <w:rPr>
                <w:rFonts w:ascii="Arial" w:cs="Arial" w:eastAsia="Arial" w:hAnsi="Arial"/>
                <w:sz w:val="16"/>
                <w:szCs w:val="16"/>
                <w:color w:val="auto"/>
              </w:rPr>
              <w:t>100%</w:t>
            </w: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106%</w:t>
            </w:r>
          </w:p>
        </w:tc>
        <w:tc>
          <w:tcPr>
            <w:tcW w:w="1740" w:type="dxa"/>
            <w:vAlign w:val="bottom"/>
          </w:tcPr>
          <w:p>
            <w:pPr>
              <w:jc w:val="center"/>
              <w:ind w:right="239"/>
              <w:spacing w:after="0"/>
              <w:rPr>
                <w:sz w:val="20"/>
                <w:szCs w:val="20"/>
                <w:color w:val="auto"/>
              </w:rPr>
            </w:pPr>
            <w:r>
              <w:rPr>
                <w:rFonts w:ascii="Arial" w:cs="Arial" w:eastAsia="Arial" w:hAnsi="Arial"/>
                <w:sz w:val="16"/>
                <w:szCs w:val="16"/>
                <w:color w:val="auto"/>
              </w:rPr>
              <w:t>163%</w:t>
            </w:r>
          </w:p>
        </w:tc>
        <w:tc>
          <w:tcPr>
            <w:tcW w:w="1360" w:type="dxa"/>
            <w:vAlign w:val="bottom"/>
          </w:tcPr>
          <w:p>
            <w:pPr>
              <w:jc w:val="center"/>
              <w:ind w:right="159"/>
              <w:spacing w:after="0"/>
              <w:rPr>
                <w:sz w:val="20"/>
                <w:szCs w:val="20"/>
                <w:color w:val="auto"/>
              </w:rPr>
            </w:pPr>
            <w:r>
              <w:rPr>
                <w:rFonts w:ascii="Arial" w:cs="Arial" w:eastAsia="Arial" w:hAnsi="Arial"/>
                <w:sz w:val="16"/>
                <w:szCs w:val="16"/>
                <w:color w:val="auto"/>
                <w:w w:val="99"/>
              </w:rPr>
              <w:t>—</w:t>
            </w:r>
          </w:p>
        </w:tc>
      </w:tr>
      <w:tr>
        <w:trPr>
          <w:trHeight w:val="189"/>
        </w:trPr>
        <w:tc>
          <w:tcPr>
            <w:tcW w:w="2520" w:type="dxa"/>
            <w:vAlign w:val="bottom"/>
          </w:tcPr>
          <w:p>
            <w:pPr>
              <w:ind w:left="60"/>
              <w:spacing w:after="0"/>
              <w:rPr>
                <w:sz w:val="20"/>
                <w:szCs w:val="20"/>
                <w:color w:val="auto"/>
              </w:rPr>
            </w:pPr>
            <w:r>
              <w:rPr>
                <w:rFonts w:ascii="Arial" w:cs="Arial" w:eastAsia="Arial" w:hAnsi="Arial"/>
                <w:sz w:val="16"/>
                <w:szCs w:val="16"/>
                <w:color w:val="auto"/>
              </w:rPr>
              <w:t>President, International</w:t>
            </w:r>
          </w:p>
        </w:tc>
        <w:tc>
          <w:tcPr>
            <w:tcW w:w="13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46%</w:t>
            </w:r>
          </w:p>
        </w:tc>
        <w:tc>
          <w:tcPr>
            <w:tcW w:w="1660" w:type="dxa"/>
            <w:vAlign w:val="bottom"/>
          </w:tcPr>
          <w:p>
            <w:pPr>
              <w:jc w:val="center"/>
              <w:spacing w:after="0"/>
              <w:rPr>
                <w:sz w:val="20"/>
                <w:szCs w:val="20"/>
                <w:color w:val="auto"/>
              </w:rPr>
            </w:pPr>
            <w:r>
              <w:rPr>
                <w:rFonts w:ascii="Arial" w:cs="Arial" w:eastAsia="Arial" w:hAnsi="Arial"/>
                <w:sz w:val="16"/>
                <w:szCs w:val="16"/>
                <w:color w:val="auto"/>
              </w:rPr>
              <w:t>0%</w:t>
            </w:r>
          </w:p>
        </w:tc>
        <w:tc>
          <w:tcPr>
            <w:tcW w:w="1640" w:type="dxa"/>
            <w:vAlign w:val="bottom"/>
          </w:tcPr>
          <w:p>
            <w:pPr>
              <w:jc w:val="center"/>
              <w:spacing w:after="0"/>
              <w:rPr>
                <w:sz w:val="20"/>
                <w:szCs w:val="20"/>
                <w:color w:val="auto"/>
              </w:rPr>
            </w:pPr>
            <w:r>
              <w:rPr>
                <w:rFonts w:ascii="Arial" w:cs="Arial" w:eastAsia="Arial" w:hAnsi="Arial"/>
                <w:sz w:val="16"/>
                <w:szCs w:val="16"/>
                <w:color w:val="auto"/>
              </w:rPr>
              <w:t>100%</w:t>
            </w:r>
          </w:p>
        </w:tc>
        <w:tc>
          <w:tcPr>
            <w:tcW w:w="1120" w:type="dxa"/>
            <w:vAlign w:val="bottom"/>
          </w:tcPr>
          <w:p>
            <w:pPr>
              <w:jc w:val="center"/>
              <w:spacing w:after="0"/>
              <w:rPr>
                <w:sz w:val="20"/>
                <w:szCs w:val="20"/>
                <w:color w:val="auto"/>
              </w:rPr>
            </w:pPr>
            <w:r>
              <w:rPr>
                <w:rFonts w:ascii="Arial" w:cs="Arial" w:eastAsia="Arial" w:hAnsi="Arial"/>
                <w:sz w:val="16"/>
                <w:szCs w:val="16"/>
                <w:color w:val="auto"/>
                <w:w w:val="97"/>
              </w:rPr>
              <w:t>106%</w:t>
            </w:r>
          </w:p>
        </w:tc>
        <w:tc>
          <w:tcPr>
            <w:tcW w:w="1740" w:type="dxa"/>
            <w:vAlign w:val="bottom"/>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right="159"/>
              <w:spacing w:after="0"/>
              <w:rPr>
                <w:sz w:val="20"/>
                <w:szCs w:val="20"/>
                <w:color w:val="auto"/>
              </w:rPr>
            </w:pPr>
            <w:r>
              <w:rPr>
                <w:rFonts w:ascii="Arial" w:cs="Arial" w:eastAsia="Arial" w:hAnsi="Arial"/>
                <w:sz w:val="16"/>
                <w:szCs w:val="16"/>
                <w:color w:val="auto"/>
              </w:rPr>
              <w:t>0%</w:t>
            </w:r>
          </w:p>
        </w:tc>
      </w:tr>
      <w:tr>
        <w:trPr>
          <w:trHeight w:val="194"/>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GC</w:t>
            </w:r>
          </w:p>
        </w:tc>
        <w:tc>
          <w:tcPr>
            <w:tcW w:w="13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103%</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106%</w:t>
            </w:r>
          </w:p>
        </w:tc>
        <w:tc>
          <w:tcPr>
            <w:tcW w:w="17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reported global net income to our reported global Adjusted EBITDA is set forth below (dollars are in millions):</w:t>
      </w:r>
    </w:p>
    <w:p>
      <w:pPr>
        <w:spacing w:after="0" w:line="195"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84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CCC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8480" w:type="dxa"/>
            <w:vAlign w:val="bottom"/>
            <w:tcBorders>
              <w:bottom w:val="single" w:sz="8" w:color="CCCCCC"/>
            </w:tcBorders>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196"/>
        </w:trPr>
        <w:tc>
          <w:tcPr>
            <w:tcW w:w="8480" w:type="dxa"/>
            <w:vAlign w:val="bottom"/>
            <w:shd w:val="clear" w:color="auto" w:fill="CCCCCC"/>
          </w:tcPr>
          <w:p>
            <w:pPr>
              <w:ind w:left="40"/>
              <w:spacing w:after="0" w:line="196" w:lineRule="exact"/>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CCCC"/>
          </w:tcPr>
          <w:p>
            <w:pPr>
              <w:spacing w:after="0"/>
              <w:rPr>
                <w:sz w:val="17"/>
                <w:szCs w:val="17"/>
                <w:color w:val="auto"/>
              </w:rPr>
            </w:pPr>
          </w:p>
        </w:tc>
        <w:tc>
          <w:tcPr>
            <w:tcW w:w="460" w:type="dxa"/>
            <w:vAlign w:val="bottom"/>
            <w:shd w:val="clear" w:color="auto" w:fill="CCCCCC"/>
          </w:tcPr>
          <w:p>
            <w:pPr>
              <w:jc w:val="right"/>
              <w:spacing w:after="0" w:line="196" w:lineRule="exact"/>
              <w:rPr>
                <w:sz w:val="20"/>
                <w:szCs w:val="20"/>
                <w:color w:val="auto"/>
              </w:rPr>
            </w:pPr>
            <w:r>
              <w:rPr>
                <w:rFonts w:ascii="Arial" w:cs="Arial" w:eastAsia="Arial" w:hAnsi="Arial"/>
                <w:sz w:val="18"/>
                <w:szCs w:val="18"/>
                <w:color w:val="auto"/>
              </w:rPr>
              <w:t>267</w:t>
            </w:r>
          </w:p>
        </w:tc>
      </w:tr>
      <w:tr>
        <w:trPr>
          <w:trHeight w:val="203"/>
        </w:trPr>
        <w:tc>
          <w:tcPr>
            <w:tcW w:w="8480" w:type="dxa"/>
            <w:vAlign w:val="bottom"/>
          </w:tcPr>
          <w:p>
            <w:pPr>
              <w:ind w:left="40"/>
              <w:spacing w:after="0" w:line="202" w:lineRule="exact"/>
              <w:rPr>
                <w:sz w:val="20"/>
                <w:szCs w:val="20"/>
                <w:color w:val="auto"/>
              </w:rPr>
            </w:pPr>
            <w:r>
              <w:rPr>
                <w:rFonts w:ascii="Arial" w:cs="Arial" w:eastAsia="Arial" w:hAnsi="Arial"/>
                <w:sz w:val="18"/>
                <w:szCs w:val="18"/>
                <w:color w:val="auto"/>
              </w:rPr>
              <w:t>Add: Non-vehicle related depreciation and amortization</w:t>
            </w:r>
          </w:p>
        </w:tc>
        <w:tc>
          <w:tcPr>
            <w:tcW w:w="1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r>
      <w:tr>
        <w:trPr>
          <w:trHeight w:val="203"/>
        </w:trPr>
        <w:tc>
          <w:tcPr>
            <w:tcW w:w="848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Interest expense related to corporate debt, net</w:t>
            </w:r>
          </w:p>
        </w:tc>
        <w:tc>
          <w:tcPr>
            <w:tcW w:w="180" w:type="dxa"/>
            <w:vAlign w:val="bottom"/>
            <w:shd w:val="clear" w:color="auto" w:fill="CCCCCC"/>
          </w:tcPr>
          <w:p>
            <w:pPr>
              <w:spacing w:after="0"/>
              <w:rPr>
                <w:sz w:val="17"/>
                <w:szCs w:val="17"/>
                <w:color w:val="auto"/>
              </w:rPr>
            </w:pPr>
          </w:p>
        </w:tc>
        <w:tc>
          <w:tcPr>
            <w:tcW w:w="46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rPr>
              <w:t>188</w:t>
            </w:r>
          </w:p>
        </w:tc>
      </w:tr>
      <w:tr>
        <w:trPr>
          <w:trHeight w:val="203"/>
        </w:trPr>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Restructuring and other related charges</w:t>
            </w:r>
          </w:p>
        </w:tc>
        <w:tc>
          <w:tcPr>
            <w:tcW w:w="1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848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Transaction-related costs, net</w:t>
            </w:r>
          </w:p>
        </w:tc>
        <w:tc>
          <w:tcPr>
            <w:tcW w:w="180" w:type="dxa"/>
            <w:vAlign w:val="bottom"/>
            <w:shd w:val="clear" w:color="auto" w:fill="CCCCCC"/>
          </w:tcPr>
          <w:p>
            <w:pPr>
              <w:spacing w:after="0"/>
              <w:rPr>
                <w:sz w:val="17"/>
                <w:szCs w:val="17"/>
                <w:color w:val="auto"/>
              </w:rPr>
            </w:pPr>
          </w:p>
        </w:tc>
        <w:tc>
          <w:tcPr>
            <w:tcW w:w="46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Early extinguishment of corporate debt</w:t>
            </w:r>
          </w:p>
        </w:tc>
        <w:tc>
          <w:tcPr>
            <w:tcW w:w="1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848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Impairment</w:t>
            </w:r>
          </w:p>
        </w:tc>
        <w:tc>
          <w:tcPr>
            <w:tcW w:w="180" w:type="dxa"/>
            <w:vAlign w:val="bottom"/>
            <w:shd w:val="clear" w:color="auto" w:fill="CCCCCC"/>
          </w:tcPr>
          <w:p>
            <w:pPr>
              <w:spacing w:after="0"/>
              <w:rPr>
                <w:sz w:val="17"/>
                <w:szCs w:val="17"/>
                <w:color w:val="auto"/>
              </w:rPr>
            </w:pPr>
          </w:p>
        </w:tc>
        <w:tc>
          <w:tcPr>
            <w:tcW w:w="46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tcPr>
          <w:p>
            <w:pPr>
              <w:ind w:left="160"/>
              <w:spacing w:after="0" w:line="202" w:lineRule="exact"/>
              <w:rPr>
                <w:sz w:val="20"/>
                <w:szCs w:val="20"/>
                <w:color w:val="auto"/>
              </w:rPr>
            </w:pPr>
            <w:r>
              <w:rPr>
                <w:rFonts w:ascii="Arial" w:cs="Arial" w:eastAsia="Arial" w:hAnsi="Arial"/>
                <w:sz w:val="18"/>
                <w:szCs w:val="18"/>
                <w:color w:val="auto"/>
              </w:rPr>
              <w:t>Charges for legal matter, net</w:t>
            </w:r>
          </w:p>
        </w:tc>
        <w:tc>
          <w:tcPr>
            <w:tcW w:w="1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shd w:val="clear" w:color="auto" w:fill="CCCCCC"/>
          </w:tcPr>
          <w:p>
            <w:pPr>
              <w:ind w:left="160"/>
              <w:spacing w:after="0" w:line="202" w:lineRule="exact"/>
              <w:rPr>
                <w:sz w:val="20"/>
                <w:szCs w:val="20"/>
                <w:color w:val="auto"/>
              </w:rPr>
            </w:pPr>
            <w:r>
              <w:rPr>
                <w:rFonts w:ascii="Arial" w:cs="Arial" w:eastAsia="Arial" w:hAnsi="Arial"/>
                <w:sz w:val="18"/>
                <w:szCs w:val="18"/>
                <w:color w:val="auto"/>
              </w:rPr>
              <w:t>Non-operational charges related to shareholder activist activity</w:t>
            </w:r>
          </w:p>
        </w:tc>
        <w:tc>
          <w:tcPr>
            <w:tcW w:w="180" w:type="dxa"/>
            <w:vAlign w:val="bottom"/>
            <w:tcBorders>
              <w:bottom w:val="single" w:sz="8" w:color="auto"/>
            </w:tcBorders>
            <w:shd w:val="clear" w:color="auto" w:fill="CCCCCC"/>
          </w:tcPr>
          <w:p>
            <w:pPr>
              <w:spacing w:after="0"/>
              <w:rPr>
                <w:sz w:val="17"/>
                <w:szCs w:val="17"/>
                <w:color w:val="auto"/>
              </w:rPr>
            </w:pPr>
          </w:p>
        </w:tc>
        <w:tc>
          <w:tcPr>
            <w:tcW w:w="460" w:type="dxa"/>
            <w:vAlign w:val="bottom"/>
            <w:tcBorders>
              <w:bottom w:val="single" w:sz="8" w:color="auto"/>
            </w:tcBorders>
            <w:shd w:val="clear" w:color="auto" w:fill="CCCCCC"/>
          </w:tcPr>
          <w:p>
            <w:pPr>
              <w:jc w:val="right"/>
              <w:spacing w:after="0" w:line="202" w:lineRule="exact"/>
              <w:rPr>
                <w:sz w:val="20"/>
                <w:szCs w:val="20"/>
                <w:color w:val="auto"/>
              </w:rPr>
            </w:pPr>
            <w:r>
              <w:rPr>
                <w:rFonts w:ascii="Arial" w:cs="Arial" w:eastAsia="Arial" w:hAnsi="Arial"/>
                <w:sz w:val="18"/>
                <w:szCs w:val="18"/>
                <w:color w:val="auto"/>
              </w:rPr>
              <w:t>9</w:t>
            </w:r>
          </w:p>
        </w:tc>
      </w:tr>
      <w:tr>
        <w:trPr>
          <w:trHeight w:val="210"/>
        </w:trPr>
        <w:tc>
          <w:tcPr>
            <w:tcW w:w="8480" w:type="dxa"/>
            <w:vAlign w:val="bottom"/>
          </w:tcPr>
          <w:p>
            <w:pPr>
              <w:ind w:left="40"/>
              <w:spacing w:after="0" w:line="197"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Adjusted EBITDA is useful as a supplemental measure in evaluating the aggregate performance of our operating businesses and in comparing our results from period to period. We believe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global income before taxes to Adjusted Free Cash Flow is set forth below (dollars are in millions):</w:t>
      </w:r>
    </w:p>
    <w:p>
      <w:pPr>
        <w:spacing w:after="0" w:line="195"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8480" w:type="dxa"/>
            <w:vAlign w:val="bottom"/>
            <w:shd w:val="clear" w:color="auto" w:fill="CCCCCC"/>
          </w:tcPr>
          <w:p>
            <w:pPr>
              <w:ind w:left="40"/>
              <w:spacing w:after="0"/>
              <w:rPr>
                <w:sz w:val="20"/>
                <w:szCs w:val="20"/>
                <w:color w:val="auto"/>
              </w:rPr>
            </w:pPr>
            <w:r>
              <w:rPr>
                <w:rFonts w:ascii="Arial" w:cs="Arial" w:eastAsia="Arial" w:hAnsi="Arial"/>
                <w:sz w:val="18"/>
                <w:szCs w:val="18"/>
                <w:color w:val="auto"/>
              </w:rPr>
              <w:t>Income before taxes</w:t>
            </w:r>
          </w:p>
        </w:tc>
        <w:tc>
          <w:tcPr>
            <w:tcW w:w="160" w:type="dxa"/>
            <w:vAlign w:val="bottom"/>
            <w:gridSpan w:val="2"/>
            <w:shd w:val="clear" w:color="auto" w:fill="CCCCCC"/>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267</w:t>
            </w:r>
          </w:p>
        </w:tc>
      </w:tr>
      <w:tr>
        <w:trPr>
          <w:trHeight w:val="203"/>
        </w:trPr>
        <w:tc>
          <w:tcPr>
            <w:tcW w:w="8480" w:type="dxa"/>
            <w:vAlign w:val="bottom"/>
          </w:tcPr>
          <w:p>
            <w:pPr>
              <w:ind w:left="40"/>
              <w:spacing w:after="0" w:line="202" w:lineRule="exact"/>
              <w:rPr>
                <w:sz w:val="20"/>
                <w:szCs w:val="20"/>
                <w:color w:val="auto"/>
              </w:rPr>
            </w:pPr>
            <w:r>
              <w:rPr>
                <w:rFonts w:ascii="Arial" w:cs="Arial" w:eastAsia="Arial" w:hAnsi="Arial"/>
                <w:sz w:val="18"/>
                <w:szCs w:val="18"/>
                <w:color w:val="auto"/>
              </w:rPr>
              <w:t>Add-back of non-vehicle related depreciation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256</w:t>
            </w:r>
          </w:p>
        </w:tc>
      </w:tr>
      <w:tr>
        <w:trPr>
          <w:trHeight w:val="203"/>
        </w:trPr>
        <w:tc>
          <w:tcPr>
            <w:tcW w:w="848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Add-back of debt extinguishment costs</w:t>
            </w:r>
          </w:p>
        </w:tc>
        <w:tc>
          <w:tcPr>
            <w:tcW w:w="2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48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8480" w:type="dxa"/>
            <w:vAlign w:val="bottom"/>
          </w:tcPr>
          <w:p>
            <w:pPr>
              <w:ind w:left="40"/>
              <w:spacing w:after="0" w:line="202" w:lineRule="exact"/>
              <w:rPr>
                <w:sz w:val="20"/>
                <w:szCs w:val="20"/>
                <w:color w:val="auto"/>
              </w:rPr>
            </w:pPr>
            <w:r>
              <w:rPr>
                <w:rFonts w:ascii="Arial" w:cs="Arial" w:eastAsia="Arial" w:hAnsi="Arial"/>
                <w:sz w:val="18"/>
                <w:szCs w:val="18"/>
                <w:color w:val="auto"/>
              </w:rPr>
              <w:t>Add-back of transaction-related costs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3"/>
        </w:trPr>
        <w:tc>
          <w:tcPr>
            <w:tcW w:w="848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Add-back of non-operational charges related to shareholder activist activity</w:t>
            </w:r>
          </w:p>
        </w:tc>
        <w:tc>
          <w:tcPr>
            <w:tcW w:w="2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48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8480" w:type="dxa"/>
            <w:vAlign w:val="bottom"/>
          </w:tcPr>
          <w:p>
            <w:pPr>
              <w:ind w:left="40"/>
              <w:spacing w:after="0" w:line="202" w:lineRule="exact"/>
              <w:rPr>
                <w:sz w:val="20"/>
                <w:szCs w:val="20"/>
                <w:color w:val="auto"/>
              </w:rPr>
            </w:pPr>
            <w:r>
              <w:rPr>
                <w:rFonts w:ascii="Arial" w:cs="Arial" w:eastAsia="Arial" w:hAnsi="Arial"/>
                <w:sz w:val="18"/>
                <w:szCs w:val="18"/>
                <w:color w:val="auto"/>
              </w:rPr>
              <w:t>Working capital and 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848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Capital expenditures</w:t>
            </w:r>
          </w:p>
        </w:tc>
        <w:tc>
          <w:tcPr>
            <w:tcW w:w="20" w:type="dxa"/>
            <w:vAlign w:val="bottom"/>
            <w:shd w:val="clear" w:color="auto" w:fill="CCCCCC"/>
          </w:tcPr>
          <w:p>
            <w:pPr>
              <w:spacing w:after="0"/>
              <w:rPr>
                <w:sz w:val="17"/>
                <w:szCs w:val="17"/>
                <w:color w:val="auto"/>
              </w:rPr>
            </w:pPr>
          </w:p>
        </w:tc>
        <w:tc>
          <w:tcPr>
            <w:tcW w:w="140" w:type="dxa"/>
            <w:vAlign w:val="bottom"/>
            <w:shd w:val="clear" w:color="auto" w:fill="CCCCCC"/>
          </w:tcPr>
          <w:p>
            <w:pPr>
              <w:spacing w:after="0"/>
              <w:rPr>
                <w:sz w:val="17"/>
                <w:szCs w:val="17"/>
                <w:color w:val="auto"/>
              </w:rPr>
            </w:pPr>
          </w:p>
        </w:tc>
        <w:tc>
          <w:tcPr>
            <w:tcW w:w="480" w:type="dxa"/>
            <w:vAlign w:val="bottom"/>
            <w:shd w:val="clear" w:color="auto" w:fill="CCCCCC"/>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8480" w:type="dxa"/>
            <w:vAlign w:val="bottom"/>
          </w:tcPr>
          <w:p>
            <w:pPr>
              <w:ind w:left="40"/>
              <w:spacing w:after="0" w:line="202" w:lineRule="exact"/>
              <w:rPr>
                <w:sz w:val="20"/>
                <w:szCs w:val="20"/>
                <w:color w:val="auto"/>
              </w:rPr>
            </w:pPr>
            <w:r>
              <w:rPr>
                <w:rFonts w:ascii="Arial" w:cs="Arial" w:eastAsia="Arial" w:hAnsi="Arial"/>
                <w:sz w:val="18"/>
                <w:szCs w:val="18"/>
                <w:color w:val="auto"/>
              </w:rPr>
              <w:t>Tax payments, net of refunds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r>
      <w:tr>
        <w:trPr>
          <w:trHeight w:val="203"/>
        </w:trPr>
        <w:tc>
          <w:tcPr>
            <w:tcW w:w="848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Vehicle programs and related*</w:t>
            </w:r>
          </w:p>
        </w:tc>
        <w:tc>
          <w:tcPr>
            <w:tcW w:w="20" w:type="dxa"/>
            <w:vAlign w:val="bottom"/>
            <w:shd w:val="clear" w:color="auto" w:fill="CCCCCC"/>
          </w:tcPr>
          <w:p>
            <w:pPr>
              <w:spacing w:after="0"/>
              <w:rPr>
                <w:sz w:val="17"/>
                <w:szCs w:val="17"/>
                <w:color w:val="auto"/>
              </w:rPr>
            </w:pPr>
          </w:p>
        </w:tc>
        <w:tc>
          <w:tcPr>
            <w:tcW w:w="140" w:type="dxa"/>
            <w:vAlign w:val="bottom"/>
            <w:tcBorders>
              <w:bottom w:val="single" w:sz="8" w:color="auto"/>
            </w:tcBorders>
            <w:shd w:val="clear" w:color="auto" w:fill="CCCCCC"/>
          </w:tcPr>
          <w:p>
            <w:pPr>
              <w:spacing w:after="0"/>
              <w:rPr>
                <w:sz w:val="17"/>
                <w:szCs w:val="17"/>
                <w:color w:val="auto"/>
              </w:rPr>
            </w:pPr>
          </w:p>
        </w:tc>
        <w:tc>
          <w:tcPr>
            <w:tcW w:w="480" w:type="dxa"/>
            <w:vAlign w:val="bottom"/>
            <w:tcBorders>
              <w:bottom w:val="single" w:sz="8" w:color="auto"/>
            </w:tcBorders>
            <w:shd w:val="clear" w:color="auto" w:fill="CCCCCC"/>
          </w:tcPr>
          <w:p>
            <w:pPr>
              <w:jc w:val="right"/>
              <w:spacing w:after="0" w:line="202" w:lineRule="exact"/>
              <w:rPr>
                <w:sz w:val="20"/>
                <w:szCs w:val="20"/>
                <w:color w:val="auto"/>
              </w:rPr>
            </w:pPr>
            <w:r>
              <w:rPr>
                <w:rFonts w:ascii="Arial" w:cs="Arial" w:eastAsia="Arial" w:hAnsi="Arial"/>
                <w:sz w:val="18"/>
                <w:szCs w:val="18"/>
                <w:color w:val="auto"/>
              </w:rPr>
              <w:t>147</w:t>
            </w:r>
          </w:p>
        </w:tc>
      </w:tr>
      <w:tr>
        <w:trPr>
          <w:trHeight w:val="196"/>
        </w:trPr>
        <w:tc>
          <w:tcPr>
            <w:tcW w:w="8480" w:type="dxa"/>
            <w:vAlign w:val="bottom"/>
          </w:tcPr>
          <w:p>
            <w:pPr>
              <w:ind w:left="40"/>
              <w:spacing w:after="0" w:line="196" w:lineRule="exact"/>
              <w:rPr>
                <w:sz w:val="20"/>
                <w:szCs w:val="20"/>
                <w:color w:val="auto"/>
              </w:rPr>
            </w:pPr>
            <w:r>
              <w:rPr>
                <w:rFonts w:ascii="Arial" w:cs="Arial" w:eastAsia="Arial" w:hAnsi="Arial"/>
                <w:sz w:val="18"/>
                <w:szCs w:val="18"/>
                <w:color w:val="auto"/>
              </w:rPr>
              <w:t>Adjusted Free Cash Flow</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430</w:t>
            </w: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200" w:right="1200" w:hanging="53"/>
        <w:spacing w:after="0" w:line="258" w:lineRule="auto"/>
        <w:rPr>
          <w:sz w:val="20"/>
          <w:szCs w:val="20"/>
          <w:color w:val="auto"/>
        </w:rPr>
      </w:pPr>
      <w:r>
        <w:rPr>
          <w:rFonts w:ascii="Arial" w:cs="Arial" w:eastAsia="Arial" w:hAnsi="Arial"/>
          <w:sz w:val="14"/>
          <w:szCs w:val="14"/>
          <w:color w:val="auto"/>
        </w:rPr>
        <w:t>*Includes vehicle-backed borrowings (repayments) that are incremental to amounts required to fund incremental (reduced) vehicle and vehicle-related assets.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Adjusted Free Cash Flow represents Net Cash Provided by Operating Activities adjusted to reflect the cash inflows and outflows relating to capital expenditures, the investing and financing activities of our vehicle programs, asset sales, if any, and to exclude debt extinguishment costs, transaction-related costs and non-operational charges related to shareholder activist activity. We believe that Adjusted Free Cash Flow is useful to management and investors in measuring the cash generated that is available to be used to repay debt obligations, repurchase stock, pay dividends and invest in further growth through new business development activities or acquisitions. Adjusted Free Cash Flow should not be construed as a substitute in measuring operating results or liquidity, and our presentation of Adjusted Free Cash Flow may not be comparable to similarly-titled measures used by other companies.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Long-Term Incentive Awards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Grant date values for awards under the Company’s 2018 regular Long -Term Incentive Program (the “2018 LTIP”) were consistent with 2017 levels as further discussed under “Setting 2018 Pay Levels.” In lieu of a 2018 LTIP award, our Former Interim CFO was granted a cash award with a one-year vesting period and a value equivalent to approximately one-third of the then annual target for such role, in recognition of the interim nature of his appointment.</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factors were reviewed to determine the appropriate type of equity to be granted: perceived value to award recipients to effect retention and incentive goals, peer practices, the degree of alignment with shareholder interests, potential dilution and projected expense balanced with the value delivered to award recipients. Based on an analysis of these factors, the Committee determined that (a) for our CEO, a mix of 60% PSUs and 40% time-based restricted stock units (“RSUs”); (b) for our Regional Presidents, an equal mix of PSUs and RSUs; and (c) for our GC, a mix of 30% PSUs and 70% RSUs would:</w:t>
      </w:r>
    </w:p>
    <w:p>
      <w:pPr>
        <w:spacing w:after="0" w:line="189"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align incentives with shareholders’ focus on profitability and financial performance;</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 the relevant decision-making impact of the individual and the impact of those decisions on the Company;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incentivize retention of key employees over the longer term.</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discussed above under “Setting 2018 Performance Metrics,” three-year cumulative Adjusted EBITDA was selected as the performance metric for the PSUs granted under the 2018 LTIP.</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Three-year cumulative Adjusted EBITDA goals for the 2018 LTIP are as follows, and at target the goal represents a 5% compounded annual growth rate over the three-year performance period:</w:t>
      </w:r>
    </w:p>
    <w:p>
      <w:pPr>
        <w:spacing w:after="0" w:line="171"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000" w:type="dxa"/>
            <w:vAlign w:val="bottom"/>
          </w:tcPr>
          <w:p>
            <w:pPr>
              <w:jc w:val="center"/>
              <w:ind w:left="79"/>
              <w:spacing w:after="0"/>
              <w:rPr>
                <w:sz w:val="20"/>
                <w:szCs w:val="20"/>
                <w:color w:val="auto"/>
              </w:rPr>
            </w:pPr>
            <w:r>
              <w:rPr>
                <w:rFonts w:ascii="Arial" w:cs="Arial" w:eastAsia="Arial" w:hAnsi="Arial"/>
                <w:sz w:val="14"/>
                <w:szCs w:val="14"/>
                <w:b w:val="1"/>
                <w:bCs w:val="1"/>
                <w:color w:val="auto"/>
              </w:rPr>
              <w:t>Cumulative Three-Year</w:t>
            </w:r>
          </w:p>
        </w:tc>
      </w:tr>
      <w:tr>
        <w:trPr>
          <w:trHeight w:val="162"/>
        </w:trPr>
        <w:tc>
          <w:tcPr>
            <w:tcW w:w="2260" w:type="dxa"/>
            <w:vAlign w:val="bottom"/>
          </w:tcPr>
          <w:p>
            <w:pPr>
              <w:spacing w:after="0"/>
              <w:rPr>
                <w:sz w:val="14"/>
                <w:szCs w:val="14"/>
                <w:color w:val="auto"/>
              </w:rPr>
            </w:pPr>
          </w:p>
        </w:tc>
        <w:tc>
          <w:tcPr>
            <w:tcW w:w="3860" w:type="dxa"/>
            <w:vAlign w:val="bottom"/>
          </w:tcPr>
          <w:p>
            <w:pPr>
              <w:jc w:val="center"/>
              <w:ind w:left="37"/>
              <w:spacing w:after="0"/>
              <w:rPr>
                <w:sz w:val="20"/>
                <w:szCs w:val="20"/>
                <w:color w:val="auto"/>
              </w:rPr>
            </w:pPr>
            <w:r>
              <w:rPr>
                <w:rFonts w:ascii="Arial" w:cs="Arial" w:eastAsia="Arial" w:hAnsi="Arial"/>
                <w:sz w:val="14"/>
                <w:szCs w:val="14"/>
                <w:b w:val="1"/>
                <w:bCs w:val="1"/>
                <w:color w:val="auto"/>
              </w:rPr>
              <w:t>Payout Opportunity</w:t>
            </w:r>
          </w:p>
        </w:tc>
        <w:tc>
          <w:tcPr>
            <w:tcW w:w="3000" w:type="dxa"/>
            <w:vAlign w:val="bottom"/>
          </w:tcPr>
          <w:p>
            <w:pPr>
              <w:jc w:val="center"/>
              <w:ind w:left="99"/>
              <w:spacing w:after="0"/>
              <w:rPr>
                <w:sz w:val="20"/>
                <w:szCs w:val="20"/>
                <w:color w:val="auto"/>
              </w:rPr>
            </w:pPr>
            <w:r>
              <w:rPr>
                <w:rFonts w:ascii="Arial" w:cs="Arial" w:eastAsia="Arial" w:hAnsi="Arial"/>
                <w:sz w:val="14"/>
                <w:szCs w:val="14"/>
                <w:b w:val="1"/>
                <w:bCs w:val="1"/>
                <w:color w:val="auto"/>
              </w:rPr>
              <w:t>Adjusted EBITDA Goal</w:t>
            </w:r>
          </w:p>
        </w:tc>
      </w:tr>
      <w:tr>
        <w:trPr>
          <w:trHeight w:val="18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Achievement Level</w:t>
            </w:r>
          </w:p>
        </w:tc>
        <w:tc>
          <w:tcPr>
            <w:tcW w:w="38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(as a % of target units awarded)</w:t>
            </w:r>
          </w:p>
        </w:tc>
        <w:tc>
          <w:tcPr>
            <w:tcW w:w="300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rPr>
              <w:t>(Dollars in millions)</w:t>
            </w:r>
          </w:p>
        </w:tc>
      </w:tr>
      <w:tr>
        <w:trPr>
          <w:trHeight w:val="203"/>
        </w:trPr>
        <w:tc>
          <w:tcPr>
            <w:tcW w:w="2260" w:type="dxa"/>
            <w:vAlign w:val="bottom"/>
            <w:tcBorders>
              <w:bottom w:val="single" w:sz="8" w:color="auto"/>
            </w:tcBorders>
            <w:shd w:val="clear" w:color="auto" w:fill="CCCCCC"/>
          </w:tcPr>
          <w:p>
            <w:pPr>
              <w:ind w:left="40"/>
              <w:spacing w:after="0" w:line="202" w:lineRule="exact"/>
              <w:rPr>
                <w:sz w:val="20"/>
                <w:szCs w:val="20"/>
                <w:color w:val="auto"/>
              </w:rPr>
            </w:pPr>
            <w:r>
              <w:rPr>
                <w:rFonts w:ascii="Arial" w:cs="Arial" w:eastAsia="Arial" w:hAnsi="Arial"/>
                <w:sz w:val="18"/>
                <w:szCs w:val="18"/>
                <w:color w:val="auto"/>
              </w:rPr>
              <w:t>Maximum</w:t>
            </w:r>
          </w:p>
        </w:tc>
        <w:tc>
          <w:tcPr>
            <w:tcW w:w="3860" w:type="dxa"/>
            <w:vAlign w:val="bottom"/>
            <w:tcBorders>
              <w:bottom w:val="single" w:sz="8" w:color="auto"/>
            </w:tcBorders>
            <w:shd w:val="clear" w:color="auto" w:fill="CCCCCC"/>
          </w:tcPr>
          <w:p>
            <w:pPr>
              <w:jc w:val="center"/>
              <w:ind w:left="37"/>
              <w:spacing w:after="0" w:line="202" w:lineRule="exact"/>
              <w:rPr>
                <w:sz w:val="20"/>
                <w:szCs w:val="20"/>
                <w:color w:val="auto"/>
              </w:rPr>
            </w:pPr>
            <w:r>
              <w:rPr>
                <w:rFonts w:ascii="Arial" w:cs="Arial" w:eastAsia="Arial" w:hAnsi="Arial"/>
                <w:sz w:val="18"/>
                <w:szCs w:val="18"/>
                <w:color w:val="auto"/>
                <w:w w:val="99"/>
              </w:rPr>
              <w:t>200%</w:t>
            </w:r>
          </w:p>
        </w:tc>
        <w:tc>
          <w:tcPr>
            <w:tcW w:w="3000" w:type="dxa"/>
            <w:vAlign w:val="bottom"/>
            <w:tcBorders>
              <w:bottom w:val="single" w:sz="8" w:color="auto"/>
            </w:tcBorders>
            <w:shd w:val="clear" w:color="auto" w:fill="CCCCCC"/>
          </w:tcPr>
          <w:p>
            <w:pPr>
              <w:jc w:val="center"/>
              <w:ind w:left="79"/>
              <w:spacing w:after="0" w:line="202" w:lineRule="exact"/>
              <w:rPr>
                <w:sz w:val="20"/>
                <w:szCs w:val="20"/>
                <w:color w:val="auto"/>
              </w:rPr>
            </w:pPr>
            <w:r>
              <w:rPr>
                <w:rFonts w:ascii="Arial" w:cs="Arial" w:eastAsia="Arial" w:hAnsi="Arial"/>
                <w:sz w:val="18"/>
                <w:szCs w:val="18"/>
                <w:color w:val="auto"/>
                <w:w w:val="99"/>
              </w:rPr>
              <w:t>$ 2,799</w:t>
            </w:r>
          </w:p>
        </w:tc>
      </w:tr>
      <w:tr>
        <w:trPr>
          <w:trHeight w:val="196"/>
        </w:trPr>
        <w:tc>
          <w:tcPr>
            <w:tcW w:w="2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Target</w:t>
            </w:r>
          </w:p>
        </w:tc>
        <w:tc>
          <w:tcPr>
            <w:tcW w:w="3860" w:type="dxa"/>
            <w:vAlign w:val="bottom"/>
            <w:tcBorders>
              <w:bottom w:val="single" w:sz="8" w:color="auto"/>
            </w:tcBorders>
          </w:tcPr>
          <w:p>
            <w:pPr>
              <w:jc w:val="center"/>
              <w:ind w:left="37"/>
              <w:spacing w:after="0" w:line="196" w:lineRule="exact"/>
              <w:rPr>
                <w:sz w:val="20"/>
                <w:szCs w:val="20"/>
                <w:color w:val="auto"/>
              </w:rPr>
            </w:pPr>
            <w:r>
              <w:rPr>
                <w:rFonts w:ascii="Arial" w:cs="Arial" w:eastAsia="Arial" w:hAnsi="Arial"/>
                <w:sz w:val="18"/>
                <w:szCs w:val="18"/>
                <w:color w:val="auto"/>
                <w:w w:val="99"/>
              </w:rPr>
              <w:t>100%</w:t>
            </w:r>
          </w:p>
        </w:tc>
        <w:tc>
          <w:tcPr>
            <w:tcW w:w="3000" w:type="dxa"/>
            <w:vAlign w:val="bottom"/>
            <w:tcBorders>
              <w:bottom w:val="single" w:sz="8" w:color="auto"/>
            </w:tcBorders>
          </w:tcPr>
          <w:p>
            <w:pPr>
              <w:jc w:val="center"/>
              <w:ind w:left="79"/>
              <w:spacing w:after="0" w:line="196" w:lineRule="exact"/>
              <w:rPr>
                <w:sz w:val="20"/>
                <w:szCs w:val="20"/>
                <w:color w:val="auto"/>
              </w:rPr>
            </w:pPr>
            <w:r>
              <w:rPr>
                <w:rFonts w:ascii="Arial" w:cs="Arial" w:eastAsia="Arial" w:hAnsi="Arial"/>
                <w:sz w:val="18"/>
                <w:szCs w:val="18"/>
                <w:color w:val="auto"/>
                <w:w w:val="99"/>
              </w:rPr>
              <w:t>$ 2,434</w:t>
            </w:r>
          </w:p>
        </w:tc>
      </w:tr>
      <w:tr>
        <w:trPr>
          <w:trHeight w:val="203"/>
        </w:trPr>
        <w:tc>
          <w:tcPr>
            <w:tcW w:w="22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Threshold</w:t>
            </w:r>
          </w:p>
        </w:tc>
        <w:tc>
          <w:tcPr>
            <w:tcW w:w="3860" w:type="dxa"/>
            <w:vAlign w:val="bottom"/>
            <w:tcBorders>
              <w:bottom w:val="single" w:sz="8" w:color="auto"/>
            </w:tcBorders>
          </w:tcPr>
          <w:p>
            <w:pPr>
              <w:jc w:val="center"/>
              <w:ind w:left="57"/>
              <w:spacing w:after="0" w:line="196" w:lineRule="exact"/>
              <w:rPr>
                <w:sz w:val="20"/>
                <w:szCs w:val="20"/>
                <w:color w:val="auto"/>
              </w:rPr>
            </w:pPr>
            <w:r>
              <w:rPr>
                <w:rFonts w:ascii="Arial" w:cs="Arial" w:eastAsia="Arial" w:hAnsi="Arial"/>
                <w:sz w:val="18"/>
                <w:szCs w:val="18"/>
                <w:color w:val="auto"/>
                <w:w w:val="99"/>
              </w:rPr>
              <w:t>50%</w:t>
            </w:r>
          </w:p>
        </w:tc>
        <w:tc>
          <w:tcPr>
            <w:tcW w:w="3000" w:type="dxa"/>
            <w:vAlign w:val="bottom"/>
            <w:tcBorders>
              <w:bottom w:val="single" w:sz="8" w:color="auto"/>
            </w:tcBorders>
          </w:tcPr>
          <w:p>
            <w:pPr>
              <w:jc w:val="center"/>
              <w:ind w:left="79"/>
              <w:spacing w:after="0" w:line="196" w:lineRule="exact"/>
              <w:rPr>
                <w:sz w:val="20"/>
                <w:szCs w:val="20"/>
                <w:color w:val="auto"/>
              </w:rPr>
            </w:pPr>
            <w:r>
              <w:rPr>
                <w:rFonts w:ascii="Arial" w:cs="Arial" w:eastAsia="Arial" w:hAnsi="Arial"/>
                <w:sz w:val="18"/>
                <w:szCs w:val="18"/>
                <w:color w:val="auto"/>
                <w:w w:val="99"/>
              </w:rPr>
              <w:t>$ 2,068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-153670</wp:posOffset>
            </wp:positionV>
            <wp:extent cx="5797550" cy="3600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360045"/>
                    </a:xfrm>
                    <a:prstGeom prst="rect">
                      <a:avLst/>
                    </a:prstGeom>
                    <a:noFill/>
                  </pic:spPr>
                </pic:pic>
              </a:graphicData>
            </a:graphic>
          </wp:anchor>
        </w:drawing>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*Straight-line interpolation is used to determine achievement between specified goals.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CEO and Other NEO Compensation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 The roles and duties of participants in the decision-making process for our executive program are summarized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Consistent with its charter, the Committee continued its engagement of Pay Governance LLC, a compensation consulting firm, to work with the Committee and the Company as an adviser on executive compensation matters in 2018. The compensation consultant reports to, and is directed by, the Committee, which has the authority to retain or terminate compensation advisers. In early 2018, the Committee reviewed information regarding the independence and potential conflicts of interest of Pay Governance, taking into account, among other things, the factors set forth in the NASDAQ listing standards.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Based on this review, the Committee concluded that the engagement of Pay Governance did not raise any conflict of interest. Outside of services provided for the Committee and advice to the Corporate Governance Committee related to compensation of non-employee directors, the compensation consultant did not provide additional services to the Company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case of NEOs other than the CEO,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2018 Pay Decisions” above. Performance criteria and goals are recommended by our Human Resources staff based on the Company’s business plan and goals, with input from the CFO and his staff. Recommendations related to the elements generally reflect a review of practices of our Peer Group and Survey Data (as defined below), and are typically designed to take into consideration past practice and our strategy to tie a greater portion of total target compensation to variable versus fixed compensation.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Each recommendation is then discussed with our CEO for feedback and to determine final recommendations. Final recommendations are reviewed with the compensation consultant and the Chair of the Committee to ensure that they are consistent with the Committee’s expectations and the Company’s compensation philosophy, and ultimately submitted to the Committee for consideration. The Committee has the ultimate right and authority to revise and/or approve recommendations of management.</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CEO’s compensation is determined by the Committee, working directly with the compensation consultant. The Committee determines each component of our CEO’s compensation, taking into consideration our CEO’s performance as well as market and Peer Group data and other factors such as level of experience and responsibilities, leadership, skill, contributions to the Company and the size and complexity of the Company’s balance sheet and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for 2018, concluded that the incentive awards approved would not be likely to encourage excessive risk-taking. Consistent with past practice, management also reviewed the Company’s compensation policies and practices for employees generally with the Chair of each of the Audit and Compensation Committees and the Company’s compensation consultant to determine whether these programs create incentives that might motivate inappropriate or excessive risk-taking. For additional information, please see “Functions and Meetings of the Board of Directors-Risk Management and Risk Assessment.”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Peer Groups and Survey Data</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that there is just one other U.S.-based publicly traded car rental company, peer companies are selected to supplement that company with additional companies from industry sectors that are viewed as most relevant to our business based on the following criteria: company size based on revenue as the primary factor, headcount, market capitalization, enterprise value, and debt and assets. Given our capital structure, we place a greater emphasis on enterprise value than market capitalization when developing the peer group. For 2018 pay decisions, the Company’s peer group consisted of the following 16 companies (the “Peer Group”):</w:t>
      </w:r>
    </w:p>
    <w:p>
      <w:pPr>
        <w:sectPr>
          <w:pgSz w:w="11900" w:h="16838" w:orient="portrait"/>
          <w:cols w:equalWidth="0" w:num="1">
            <w:col w:w="11420"/>
          </w:cols>
          <w:pgMar w:left="240" w:top="445" w:right="239" w:bottom="1440" w:gutter="0" w:footer="0" w:header="0"/>
        </w:sectPr>
      </w:pP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AutoNation Inc.</w:t>
      </w:r>
    </w:p>
    <w:p>
      <w:pPr>
        <w:ind w:left="340"/>
        <w:spacing w:after="0" w:line="234" w:lineRule="auto"/>
        <w:rPr>
          <w:sz w:val="20"/>
          <w:szCs w:val="20"/>
          <w:color w:val="auto"/>
        </w:rPr>
      </w:pPr>
      <w:r>
        <w:rPr>
          <w:rFonts w:ascii="Arial" w:cs="Arial" w:eastAsia="Arial" w:hAnsi="Arial"/>
          <w:sz w:val="18"/>
          <w:szCs w:val="18"/>
          <w:color w:val="auto"/>
        </w:rPr>
        <w:t>Carmax, Inc.</w:t>
      </w:r>
    </w:p>
    <w:p>
      <w:pPr>
        <w:ind w:left="340"/>
        <w:spacing w:after="0" w:line="235" w:lineRule="auto"/>
        <w:rPr>
          <w:sz w:val="20"/>
          <w:szCs w:val="20"/>
          <w:color w:val="auto"/>
        </w:rPr>
      </w:pPr>
      <w:r>
        <w:rPr>
          <w:rFonts w:ascii="Arial" w:cs="Arial" w:eastAsia="Arial" w:hAnsi="Arial"/>
          <w:sz w:val="18"/>
          <w:szCs w:val="18"/>
          <w:color w:val="auto"/>
        </w:rPr>
        <w:t>Carnival Corporation</w:t>
      </w:r>
    </w:p>
    <w:p>
      <w:pPr>
        <w:ind w:left="340"/>
        <w:spacing w:after="0" w:line="235" w:lineRule="auto"/>
        <w:rPr>
          <w:sz w:val="20"/>
          <w:szCs w:val="20"/>
          <w:color w:val="auto"/>
        </w:rPr>
      </w:pPr>
      <w:r>
        <w:rPr>
          <w:rFonts w:ascii="Arial" w:cs="Arial" w:eastAsia="Arial" w:hAnsi="Arial"/>
          <w:sz w:val="18"/>
          <w:szCs w:val="18"/>
          <w:color w:val="auto"/>
        </w:rPr>
        <w:t>Cintas Corporation</w:t>
      </w:r>
    </w:p>
    <w:p>
      <w:pPr>
        <w:ind w:left="340"/>
        <w:spacing w:after="0" w:line="235" w:lineRule="auto"/>
        <w:rPr>
          <w:sz w:val="20"/>
          <w:szCs w:val="20"/>
          <w:color w:val="auto"/>
        </w:rPr>
      </w:pPr>
      <w:r>
        <w:rPr>
          <w:rFonts w:ascii="Arial" w:cs="Arial" w:eastAsia="Arial" w:hAnsi="Arial"/>
          <w:sz w:val="18"/>
          <w:szCs w:val="18"/>
          <w:color w:val="auto"/>
        </w:rPr>
        <w:t>Hertz Global Holdings, Inc.</w:t>
      </w:r>
    </w:p>
    <w:p>
      <w:pPr>
        <w:ind w:left="340"/>
        <w:spacing w:after="0"/>
        <w:rPr>
          <w:sz w:val="20"/>
          <w:szCs w:val="20"/>
          <w:color w:val="auto"/>
        </w:rPr>
      </w:pPr>
      <w:r>
        <w:rPr>
          <w:rFonts w:ascii="Arial" w:cs="Arial" w:eastAsia="Arial" w:hAnsi="Arial"/>
          <w:sz w:val="17"/>
          <w:szCs w:val="17"/>
          <w:color w:val="auto"/>
        </w:rPr>
        <w:t>J.B. Hunt Transport Services, Inc.</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Marriott International, Inc.</w:t>
      </w:r>
    </w:p>
    <w:p>
      <w:pPr>
        <w:ind w:left="340"/>
        <w:spacing w:after="0"/>
        <w:rPr>
          <w:sz w:val="20"/>
          <w:szCs w:val="20"/>
          <w:color w:val="auto"/>
        </w:rPr>
      </w:pPr>
      <w:r>
        <w:rPr>
          <w:rFonts w:ascii="Arial" w:cs="Arial" w:eastAsia="Arial" w:hAnsi="Arial"/>
          <w:sz w:val="18"/>
          <w:szCs w:val="18"/>
          <w:color w:val="auto"/>
        </w:rPr>
        <w:t>Norfolk Southern Corporation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Norwegian Cruise Line Holdings Ltd.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 Depot, Inc.</w:t>
      </w:r>
    </w:p>
    <w:p>
      <w:pPr>
        <w:ind w:left="20"/>
        <w:spacing w:after="0" w:line="234" w:lineRule="auto"/>
        <w:rPr>
          <w:sz w:val="20"/>
          <w:szCs w:val="20"/>
          <w:color w:val="auto"/>
        </w:rPr>
      </w:pPr>
      <w:r>
        <w:rPr>
          <w:rFonts w:ascii="Arial" w:cs="Arial" w:eastAsia="Arial" w:hAnsi="Arial"/>
          <w:sz w:val="18"/>
          <w:szCs w:val="18"/>
          <w:color w:val="auto"/>
        </w:rPr>
        <w:t>Pitney Bowes Inc.</w:t>
      </w:r>
    </w:p>
    <w:p>
      <w:pPr>
        <w:ind w:left="20"/>
        <w:spacing w:after="0" w:line="235" w:lineRule="auto"/>
        <w:rPr>
          <w:sz w:val="20"/>
          <w:szCs w:val="20"/>
          <w:color w:val="auto"/>
        </w:rPr>
      </w:pPr>
      <w:r>
        <w:rPr>
          <w:rFonts w:ascii="Arial" w:cs="Arial" w:eastAsia="Arial" w:hAnsi="Arial"/>
          <w:sz w:val="18"/>
          <w:szCs w:val="18"/>
          <w:color w:val="auto"/>
        </w:rPr>
        <w:t>RR Donnelley &amp; Sons Company</w:t>
      </w:r>
    </w:p>
    <w:p>
      <w:pPr>
        <w:ind w:left="20"/>
        <w:spacing w:after="0" w:line="235" w:lineRule="auto"/>
        <w:rPr>
          <w:sz w:val="20"/>
          <w:szCs w:val="20"/>
          <w:color w:val="auto"/>
        </w:rPr>
      </w:pPr>
      <w:r>
        <w:rPr>
          <w:rFonts w:ascii="Arial" w:cs="Arial" w:eastAsia="Arial" w:hAnsi="Arial"/>
          <w:sz w:val="18"/>
          <w:szCs w:val="18"/>
          <w:color w:val="auto"/>
        </w:rPr>
        <w:t>Royal Caribbean Cruises Ltd.</w:t>
      </w:r>
    </w:p>
    <w:p>
      <w:pPr>
        <w:ind w:left="20"/>
        <w:spacing w:after="0" w:line="235" w:lineRule="auto"/>
        <w:rPr>
          <w:sz w:val="20"/>
          <w:szCs w:val="20"/>
          <w:color w:val="auto"/>
        </w:rPr>
      </w:pPr>
      <w:r>
        <w:rPr>
          <w:rFonts w:ascii="Arial" w:cs="Arial" w:eastAsia="Arial" w:hAnsi="Arial"/>
          <w:sz w:val="18"/>
          <w:szCs w:val="18"/>
          <w:color w:val="auto"/>
        </w:rPr>
        <w:t>Ryder System, Inc.</w:t>
      </w:r>
    </w:p>
    <w:p>
      <w:pPr>
        <w:spacing w:after="0" w:line="235" w:lineRule="auto"/>
        <w:rPr>
          <w:sz w:val="20"/>
          <w:szCs w:val="20"/>
          <w:color w:val="auto"/>
        </w:rPr>
      </w:pPr>
      <w:r>
        <w:rPr>
          <w:rFonts w:ascii="Arial" w:cs="Arial" w:eastAsia="Arial" w:hAnsi="Arial"/>
          <w:sz w:val="18"/>
          <w:szCs w:val="18"/>
          <w:color w:val="auto"/>
        </w:rPr>
        <w:t>Waste Management, Inc.</w:t>
      </w:r>
    </w:p>
    <w:p>
      <w:pPr>
        <w:spacing w:after="0"/>
        <w:rPr>
          <w:sz w:val="20"/>
          <w:szCs w:val="20"/>
          <w:color w:val="auto"/>
        </w:rPr>
      </w:pPr>
      <w:r>
        <w:rPr>
          <w:rFonts w:ascii="Arial" w:cs="Arial" w:eastAsia="Arial" w:hAnsi="Arial"/>
          <w:sz w:val="18"/>
          <w:szCs w:val="18"/>
          <w:color w:val="auto"/>
        </w:rPr>
        <w:t>Wyndham Worldwide Corporation</w:t>
      </w:r>
    </w:p>
    <w:p>
      <w:pPr>
        <w:spacing w:after="0" w:line="198" w:lineRule="exact"/>
        <w:rPr>
          <w:sz w:val="20"/>
          <w:szCs w:val="20"/>
          <w:color w:val="auto"/>
        </w:rPr>
      </w:pPr>
    </w:p>
    <w:p>
      <w:pPr>
        <w:sectPr>
          <w:pgSz w:w="11900" w:h="16838" w:orient="portrait"/>
          <w:cols w:equalWidth="0" w:num="2">
            <w:col w:w="4660" w:space="720"/>
            <w:col w:w="6040"/>
          </w:cols>
          <w:pgMar w:left="240" w:top="445" w:right="239" w:bottom="1440" w:gutter="0" w:footer="0" w:header="0"/>
          <w:type w:val="continuous"/>
        </w:sectPr>
      </w:pPr>
    </w:p>
    <w:p>
      <w:pPr>
        <w:jc w:val="both"/>
        <w:spacing w:after="0" w:line="234" w:lineRule="auto"/>
        <w:rPr>
          <w:sz w:val="20"/>
          <w:szCs w:val="20"/>
          <w:color w:val="auto"/>
        </w:rPr>
      </w:pPr>
      <w:r>
        <w:rPr>
          <w:rFonts w:ascii="Arial" w:cs="Arial" w:eastAsia="Arial" w:hAnsi="Arial"/>
          <w:sz w:val="18"/>
          <w:szCs w:val="18"/>
          <w:color w:val="auto"/>
        </w:rPr>
        <w:t>The Peer Group was initially approved in 2011 and reviewed in subsequent years. For 2019 pay decisions, Wyndham Worldwide Corporation will be removed from the Company’s peer group as a result of Wyndham’s spinoff into two publicly traded companies. The Committee reviewed pay data of the Peer Group, as previously discussed to ensure reasonable comparability of the pay packages of our NEOs. The Committee does not specifically target any percentile within the Peer Group when setting overall compensation, any individual element of compensation or the relative pay mix among different elements of compensation. The Committee expects to review the Peer Group from time to time in order to ensure that the component companies continue to meet the criteria for which they were selected, as well as to identify other companies that may become appropriate for inclusion. 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 companies that have</w:t>
      </w:r>
    </w:p>
    <w:p>
      <w:pPr>
        <w:spacing w:after="0" w:line="8" w:lineRule="exact"/>
        <w:rPr>
          <w:sz w:val="20"/>
          <w:szCs w:val="20"/>
          <w:color w:val="auto"/>
        </w:rPr>
      </w:pPr>
    </w:p>
    <w:p>
      <w:pPr>
        <w:jc w:val="both"/>
        <w:spacing w:after="0" w:line="199" w:lineRule="auto"/>
        <w:rPr>
          <w:sz w:val="20"/>
          <w:szCs w:val="20"/>
          <w:color w:val="auto"/>
        </w:rPr>
      </w:pPr>
      <w:r>
        <w:rPr>
          <w:rFonts w:ascii="Arial" w:cs="Arial" w:eastAsia="Arial" w:hAnsi="Arial"/>
          <w:sz w:val="18"/>
          <w:szCs w:val="18"/>
          <w:color w:val="auto"/>
        </w:rPr>
        <w:t>revenue comparable to ours (the “Survey Data”) as another data point. The Survey Data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represents data from over 1,000 companies sized according to revenue, assets and number of employees.</w:t>
      </w:r>
    </w:p>
    <w:p>
      <w:pPr>
        <w:spacing w:after="0" w:line="19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2018, the Committee considered the Survey Data for each element of the 2018 compensation and benefits package as a general check and to ensure reasonable comparability. Consideration of the Peer Group and the Survey Data represented just two factors considered in setting executive compensation for 2018. Please refer to “Analysis of 2018 Pay Decisions” for the other factors considered in setting executive compensation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1" w:lineRule="exact"/>
        <w:rPr>
          <w:sz w:val="20"/>
          <w:szCs w:val="20"/>
          <w:color w:val="auto"/>
        </w:rPr>
      </w:pPr>
    </w:p>
    <w:p>
      <w:pPr>
        <w:jc w:val="both"/>
        <w:ind w:left="240" w:right="20" w:hanging="232"/>
        <w:spacing w:after="0" w:line="250" w:lineRule="auto"/>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Consideration of the Company’s 2018 Shareholder Vote on Executive Compensation</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Committee reviewed the results of the Company’s shareholder advisory vote on executive compensation (“Say on Pay”) in 2018. At the 2018 annual meeting of shareholders, over 94% of the votes cast were in support of the Company’s Say on Pay proposal. Based on the 2018 Say on Pay results and feedback from shareholders, the Committee concluded that the Company’s overall compensation program as it relates to its NEOs enjoys the support of the Company’s shareholders and does not require revision to address any broad shareholder concerns.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Related to Equity Awards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practice has been to grant long-term incentive awards at pre-established meetings of the Committee. Annual long-term incentive awards, which typically include the awards granted to all of the NEOs, are usually approved in March. However, the Committee retains the ability to determine, and has in the past determined, that another grant date may be appropriate in certain circumstances. Awards may also be approved at other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the Committee approves the award. The Committee typically approves a dollar amount for each restricted unit award, which is then divided by the closing price of our Common Stock on the date of grant to arrive at the number of restricted units to be granted.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and Retention Guidelines</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executive stock ownership guidelines require senior officers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Officer(s)</w:t>
            </w:r>
          </w:p>
        </w:tc>
        <w:tc>
          <w:tcPr>
            <w:tcW w:w="7320" w:type="dxa"/>
            <w:vAlign w:val="bottom"/>
            <w:tcBorders>
              <w:bottom w:val="single" w:sz="8" w:color="auto"/>
            </w:tcBorders>
          </w:tcPr>
          <w:p>
            <w:pPr>
              <w:ind w:left="1960"/>
              <w:spacing w:after="0"/>
              <w:rPr>
                <w:sz w:val="20"/>
                <w:szCs w:val="20"/>
                <w:color w:val="auto"/>
              </w:rPr>
            </w:pPr>
            <w:r>
              <w:rPr>
                <w:rFonts w:ascii="Arial" w:cs="Arial" w:eastAsia="Arial" w:hAnsi="Arial"/>
                <w:sz w:val="18"/>
                <w:szCs w:val="18"/>
                <w:b w:val="1"/>
                <w:bCs w:val="1"/>
                <w:color w:val="auto"/>
              </w:rPr>
              <w:t>Threshold</w:t>
            </w:r>
          </w:p>
        </w:tc>
      </w:tr>
      <w:tr>
        <w:trPr>
          <w:trHeight w:val="203"/>
        </w:trPr>
        <w:tc>
          <w:tcPr>
            <w:tcW w:w="410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CEO</w:t>
            </w:r>
          </w:p>
        </w:tc>
        <w:tc>
          <w:tcPr>
            <w:tcW w:w="7320" w:type="dxa"/>
            <w:vAlign w:val="bottom"/>
            <w:tcBorders>
              <w:bottom w:val="single" w:sz="8" w:color="auto"/>
            </w:tcBorders>
            <w:shd w:val="clear" w:color="auto" w:fill="CCCCCC"/>
          </w:tcPr>
          <w:p>
            <w:pPr>
              <w:ind w:left="1960"/>
              <w:spacing w:after="0" w:line="202" w:lineRule="exact"/>
              <w:rPr>
                <w:sz w:val="20"/>
                <w:szCs w:val="20"/>
                <w:color w:val="auto"/>
              </w:rPr>
            </w:pPr>
            <w:r>
              <w:rPr>
                <w:rFonts w:ascii="Arial" w:cs="Arial" w:eastAsia="Arial" w:hAnsi="Arial"/>
                <w:sz w:val="18"/>
                <w:szCs w:val="18"/>
                <w:color w:val="auto"/>
              </w:rPr>
              <w:t>Five times base salary</w:t>
            </w:r>
          </w:p>
        </w:tc>
      </w:tr>
      <w:tr>
        <w:trPr>
          <w:trHeight w:val="196"/>
        </w:trPr>
        <w:tc>
          <w:tcPr>
            <w:tcW w:w="41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CFO, Regional Presidents</w:t>
            </w:r>
          </w:p>
        </w:tc>
        <w:tc>
          <w:tcPr>
            <w:tcW w:w="7320" w:type="dxa"/>
            <w:vAlign w:val="bottom"/>
            <w:tcBorders>
              <w:bottom w:val="single" w:sz="8" w:color="auto"/>
            </w:tcBorders>
          </w:tcPr>
          <w:p>
            <w:pPr>
              <w:ind w:left="1960"/>
              <w:spacing w:after="0" w:line="196" w:lineRule="exact"/>
              <w:rPr>
                <w:sz w:val="20"/>
                <w:szCs w:val="20"/>
                <w:color w:val="auto"/>
              </w:rPr>
            </w:pPr>
            <w:r>
              <w:rPr>
                <w:rFonts w:ascii="Arial" w:cs="Arial" w:eastAsia="Arial" w:hAnsi="Arial"/>
                <w:sz w:val="18"/>
                <w:szCs w:val="18"/>
                <w:color w:val="auto"/>
              </w:rPr>
              <w:t>Three times base salary</w:t>
            </w:r>
          </w:p>
        </w:tc>
      </w:tr>
      <w:tr>
        <w:trPr>
          <w:trHeight w:val="203"/>
        </w:trPr>
        <w:tc>
          <w:tcPr>
            <w:tcW w:w="410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GC</w:t>
            </w:r>
          </w:p>
        </w:tc>
        <w:tc>
          <w:tcPr>
            <w:tcW w:w="7320" w:type="dxa"/>
            <w:vAlign w:val="bottom"/>
            <w:tcBorders>
              <w:bottom w:val="single" w:sz="8" w:color="auto"/>
            </w:tcBorders>
            <w:shd w:val="clear" w:color="auto" w:fill="CCCCCC"/>
          </w:tcPr>
          <w:p>
            <w:pPr>
              <w:ind w:left="1960"/>
              <w:spacing w:after="0" w:line="196" w:lineRule="exact"/>
              <w:rPr>
                <w:sz w:val="20"/>
                <w:szCs w:val="20"/>
                <w:color w:val="auto"/>
              </w:rPr>
            </w:pPr>
            <w:r>
              <w:rPr>
                <w:rFonts w:ascii="Arial" w:cs="Arial" w:eastAsia="Arial" w:hAnsi="Arial"/>
                <w:sz w:val="18"/>
                <w:szCs w:val="18"/>
                <w:color w:val="auto"/>
              </w:rPr>
              <w:t>Two times base salary</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through the Company’s savings plan, and the “in-the-money” portion of vested stock options. Our current NEOs have exceeded the applicable specified ownership threshold, with the exception of our Former Interim CFO.</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Following attainment of ownership thresholds, our NEOs are required, for a period of one year, to hold an amount equal to 50% of the net shares obtained upon the vesting of any equity award and 50% of all stock options that vest.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foster the retention of our key management team and in accordance with past practice, we entered into an employment agreement with our CEO in connection with his assumption of the role in 2016.</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also entered into agreements with our President, Americas, our President, International, and our GC under which the Company seeks to provide these officers with appropriate protections consistent with prevailing market practices. In addition, we entered into an agreement with our Former Interim CFO in 2017, which was subsequently amended in February 2019, setting forth the terms of his interim assignment and his temporary relocation from the United Kingdom to the United States.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more detailed description of the Company’s current agreements with our NEOs is set forth below under the heading “Employment Agreements and Other Arrangements,” and the benefits that would be received by our NEOs in the event of termination without cause or a change in control are set forth below under the heading “Termination, Severance and Change of Control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Benefits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seek to provide perquisites to our executives that are consistent with those provided by the general market and Peer Group companies. Our perquisites currently consist primarily of financial planning services, auto use or allowance, discounted auto insurance, auto leasing through the employee lease program and limited personal use of Company-leased aircraft services. In 2018, Mr. Servodidio, who was based in the United Kingdom, was also provided with expatriate benefits associated with a Company-requested long-term assignment to the United Kingdom, and Mr. Smith was also provided with some expatriate benefits associated with his temporary relocation to the United States from the United Kingdom. The Company does not provide tax reimbursements on perquisites for any of our NEOs other than relocation and expatriate benefits in accordance with the Company’s standard policies.</w:t>
      </w:r>
    </w:p>
    <w:p>
      <w:pPr>
        <w:sectPr>
          <w:pgSz w:w="11900" w:h="16838" w:orient="portrait"/>
          <w:cols w:equalWidth="0" w:num="1">
            <w:col w:w="11420"/>
          </w:cols>
          <w:pgMar w:left="240" w:top="445" w:right="2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Employees, including our NEOs, may also receive tickets for professional baseball games held at Yankee Stadium,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Company’s insider trading policy prohibits executive officers and directors from, among other things, (i) engaging in hedging transactions with respect to Company securities, including through the use of financial instruments such as prepaid variable forwards, equity swaps, collars and exchange funds, and (ii) holding Company securities in a margin account or otherwise pledging Company securities as collateral for a loan. Short sales of the Company’s securities are also prohibited under such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 Policy</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Compensation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the passage of the Tax Cuts and Jobs Act of 2017, the Section 162(m) limitation on deductibility of certain compensation in excess of $1.0 million per year paid to certain of our NEOs did not apply to compensation that qualifies under applicable regulations as “performance-based.” For 2017 and prior years, it was our intent to design the performance-based compensation we awarded to our NEOs to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shareholders. For this reason, some compensation intended to be performance-based may exceed the limitations or not meet the requirements for deductibility under Section 162(m).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COMPENSATION COMMITTEE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Mary Choksi, Chair</w:t>
      </w:r>
    </w:p>
    <w:p>
      <w:pPr>
        <w:jc w:val="center"/>
        <w:spacing w:after="0" w:line="234" w:lineRule="auto"/>
        <w:rPr>
          <w:sz w:val="20"/>
          <w:szCs w:val="20"/>
          <w:color w:val="auto"/>
        </w:rPr>
      </w:pPr>
      <w:r>
        <w:rPr>
          <w:rFonts w:ascii="Arial" w:cs="Arial" w:eastAsia="Arial" w:hAnsi="Arial"/>
          <w:sz w:val="18"/>
          <w:szCs w:val="18"/>
          <w:i w:val="1"/>
          <w:iCs w:val="1"/>
          <w:color w:val="auto"/>
        </w:rPr>
        <w:t>Brian J. Choi</w:t>
      </w:r>
    </w:p>
    <w:p>
      <w:pPr>
        <w:jc w:val="center"/>
        <w:spacing w:after="0" w:line="235" w:lineRule="auto"/>
        <w:rPr>
          <w:sz w:val="20"/>
          <w:szCs w:val="20"/>
          <w:color w:val="auto"/>
        </w:rPr>
      </w:pPr>
      <w:r>
        <w:rPr>
          <w:rFonts w:ascii="Arial" w:cs="Arial" w:eastAsia="Arial" w:hAnsi="Arial"/>
          <w:sz w:val="18"/>
          <w:szCs w:val="18"/>
          <w:i w:val="1"/>
          <w:iCs w:val="1"/>
          <w:color w:val="auto"/>
        </w:rPr>
        <w:t>Leonard S. Coleman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Jeffrey H. Fox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840" w:type="dxa"/>
            <w:vAlign w:val="bottom"/>
          </w:tcPr>
          <w:p>
            <w:pPr>
              <w:spacing w:after="0"/>
              <w:rPr>
                <w:sz w:val="14"/>
                <w:szCs w:val="14"/>
                <w:color w:val="auto"/>
              </w:rPr>
            </w:pPr>
          </w:p>
        </w:tc>
      </w:tr>
      <w:tr>
        <w:trPr>
          <w:trHeight w:val="162"/>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4"/>
                <w:szCs w:val="14"/>
                <w:color w:val="auto"/>
              </w:rPr>
            </w:pPr>
          </w:p>
        </w:tc>
      </w:tr>
      <w:tr>
        <w:trPr>
          <w:trHeight w:val="162"/>
        </w:trPr>
        <w:tc>
          <w:tcPr>
            <w:tcW w:w="2740" w:type="dxa"/>
            <w:vAlign w:val="bottom"/>
          </w:tcPr>
          <w:p>
            <w:pPr>
              <w:ind w:left="60"/>
              <w:spacing w:after="0"/>
              <w:rPr>
                <w:sz w:val="20"/>
                <w:szCs w:val="20"/>
                <w:color w:val="auto"/>
              </w:rPr>
            </w:pPr>
            <w:r>
              <w:rPr>
                <w:rFonts w:ascii="Arial" w:cs="Arial" w:eastAsia="Arial" w:hAnsi="Arial"/>
                <w:sz w:val="14"/>
                <w:szCs w:val="14"/>
                <w:b w:val="1"/>
                <w:bCs w:val="1"/>
                <w:color w:val="auto"/>
              </w:rPr>
              <w:t>Name and</w:t>
            </w:r>
          </w:p>
        </w:tc>
        <w:tc>
          <w:tcPr>
            <w:tcW w:w="7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Salary</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Bonus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Comp</w:t>
            </w: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182"/>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Principal Position</w:t>
            </w: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Year</w:t>
            </w: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w:t>
            </w: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r>
      <w:tr>
        <w:trPr>
          <w:trHeight w:val="162"/>
        </w:trPr>
        <w:tc>
          <w:tcPr>
            <w:tcW w:w="2740" w:type="dxa"/>
            <w:vAlign w:val="bottom"/>
            <w:shd w:val="clear" w:color="auto" w:fill="CCCCCC"/>
          </w:tcPr>
          <w:p>
            <w:pPr>
              <w:ind w:left="60"/>
              <w:spacing w:after="0"/>
              <w:rPr>
                <w:sz w:val="20"/>
                <w:szCs w:val="20"/>
                <w:color w:val="auto"/>
              </w:rPr>
            </w:pPr>
            <w:r>
              <w:rPr>
                <w:rFonts w:ascii="Arial" w:cs="Arial" w:eastAsia="Arial" w:hAnsi="Arial"/>
                <w:sz w:val="14"/>
                <w:szCs w:val="14"/>
                <w:color w:val="auto"/>
              </w:rPr>
              <w:t>De Shon, Larry D.</w:t>
            </w:r>
          </w:p>
        </w:tc>
        <w:tc>
          <w:tcPr>
            <w:tcW w:w="720" w:type="dxa"/>
            <w:vAlign w:val="bottom"/>
            <w:shd w:val="clear" w:color="auto" w:fill="CCCCCC"/>
          </w:tcPr>
          <w:p>
            <w:pPr>
              <w:ind w:left="260"/>
              <w:spacing w:after="0"/>
              <w:rPr>
                <w:sz w:val="20"/>
                <w:szCs w:val="20"/>
                <w:color w:val="auto"/>
              </w:rPr>
            </w:pPr>
            <w:r>
              <w:rPr>
                <w:rFonts w:ascii="Arial" w:cs="Arial" w:eastAsia="Arial" w:hAnsi="Arial"/>
                <w:sz w:val="14"/>
                <w:szCs w:val="14"/>
                <w:color w:val="auto"/>
              </w:rPr>
              <w:t>2018</w:t>
            </w:r>
          </w:p>
        </w:tc>
        <w:tc>
          <w:tcPr>
            <w:tcW w:w="108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1,100,000</w:t>
            </w:r>
          </w:p>
        </w:tc>
        <w:tc>
          <w:tcPr>
            <w:tcW w:w="8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5,500,000</w:t>
            </w:r>
          </w:p>
        </w:tc>
        <w:tc>
          <w:tcPr>
            <w:tcW w:w="8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1,699,500</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127,666</w:t>
            </w:r>
          </w:p>
        </w:tc>
        <w:tc>
          <w:tcPr>
            <w:tcW w:w="8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8,427,166</w:t>
            </w:r>
          </w:p>
        </w:tc>
      </w:tr>
      <w:tr>
        <w:trPr>
          <w:trHeight w:val="162"/>
        </w:trPr>
        <w:tc>
          <w:tcPr>
            <w:tcW w:w="2740" w:type="dxa"/>
            <w:vAlign w:val="bottom"/>
            <w:shd w:val="clear" w:color="auto" w:fill="CCCCCC"/>
          </w:tcPr>
          <w:p>
            <w:pPr>
              <w:ind w:left="180"/>
              <w:spacing w:after="0"/>
              <w:rPr>
                <w:sz w:val="20"/>
                <w:szCs w:val="20"/>
                <w:color w:val="auto"/>
              </w:rPr>
            </w:pPr>
            <w:r>
              <w:rPr>
                <w:rFonts w:ascii="Arial" w:cs="Arial" w:eastAsia="Arial" w:hAnsi="Arial"/>
                <w:sz w:val="14"/>
                <w:szCs w:val="14"/>
                <w:color w:val="auto"/>
              </w:rPr>
              <w:t>CEO and Chief</w:t>
            </w:r>
          </w:p>
        </w:tc>
        <w:tc>
          <w:tcPr>
            <w:tcW w:w="720" w:type="dxa"/>
            <w:vAlign w:val="bottom"/>
            <w:shd w:val="clear" w:color="auto" w:fill="CCCCCC"/>
          </w:tcPr>
          <w:p>
            <w:pPr>
              <w:ind w:left="260"/>
              <w:spacing w:after="0"/>
              <w:rPr>
                <w:sz w:val="20"/>
                <w:szCs w:val="20"/>
                <w:color w:val="auto"/>
              </w:rPr>
            </w:pPr>
            <w:r>
              <w:rPr>
                <w:rFonts w:ascii="Arial" w:cs="Arial" w:eastAsia="Arial" w:hAnsi="Arial"/>
                <w:sz w:val="14"/>
                <w:szCs w:val="14"/>
                <w:color w:val="auto"/>
              </w:rPr>
              <w:t>2017</w:t>
            </w:r>
          </w:p>
        </w:tc>
        <w:tc>
          <w:tcPr>
            <w:tcW w:w="108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1,095,068</w:t>
            </w:r>
          </w:p>
        </w:tc>
        <w:tc>
          <w:tcPr>
            <w:tcW w:w="8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5,499,991</w:t>
            </w:r>
          </w:p>
        </w:tc>
        <w:tc>
          <w:tcPr>
            <w:tcW w:w="8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339,018</w:t>
            </w:r>
          </w:p>
        </w:tc>
        <w:tc>
          <w:tcPr>
            <w:tcW w:w="8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6,934,077</w:t>
            </w:r>
          </w:p>
        </w:tc>
      </w:tr>
      <w:tr>
        <w:trPr>
          <w:trHeight w:val="162"/>
        </w:trPr>
        <w:tc>
          <w:tcPr>
            <w:tcW w:w="27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4"/>
                <w:szCs w:val="14"/>
                <w:color w:val="auto"/>
              </w:rPr>
              <w:t>Operating Officer</w:t>
            </w:r>
          </w:p>
        </w:tc>
        <w:tc>
          <w:tcPr>
            <w:tcW w:w="72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rPr>
              <w:t>2016</w:t>
            </w:r>
          </w:p>
        </w:tc>
        <w:tc>
          <w:tcPr>
            <w:tcW w:w="1080" w:type="dxa"/>
            <w:vAlign w:val="bottom"/>
            <w:tcBorders>
              <w:bottom w:val="single" w:sz="8" w:color="auto"/>
            </w:tcBorders>
            <w:shd w:val="clear" w:color="auto" w:fill="CCCCCC"/>
          </w:tcPr>
          <w:p>
            <w:pPr>
              <w:jc w:val="right"/>
              <w:ind w:right="88"/>
              <w:spacing w:after="0"/>
              <w:rPr>
                <w:sz w:val="20"/>
                <w:szCs w:val="20"/>
                <w:color w:val="auto"/>
              </w:rPr>
            </w:pPr>
            <w:r>
              <w:rPr>
                <w:rFonts w:ascii="Arial" w:cs="Arial" w:eastAsia="Arial" w:hAnsi="Arial"/>
                <w:sz w:val="14"/>
                <w:szCs w:val="14"/>
                <w:color w:val="auto"/>
              </w:rPr>
              <w:t>1,000,000</w:t>
            </w:r>
          </w:p>
        </w:tc>
        <w:tc>
          <w:tcPr>
            <w:tcW w:w="8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3,745,723</w:t>
            </w:r>
          </w:p>
        </w:tc>
        <w:tc>
          <w:tcPr>
            <w:tcW w:w="8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675,000</w:t>
            </w:r>
          </w:p>
        </w:tc>
        <w:tc>
          <w:tcPr>
            <w:tcW w:w="12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1,108,743</w:t>
            </w:r>
          </w:p>
        </w:tc>
        <w:tc>
          <w:tcPr>
            <w:tcW w:w="8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6,529,466</w:t>
            </w:r>
          </w:p>
        </w:tc>
      </w:tr>
      <w:tr>
        <w:trPr>
          <w:trHeight w:val="160"/>
        </w:trPr>
        <w:tc>
          <w:tcPr>
            <w:tcW w:w="2740" w:type="dxa"/>
            <w:vAlign w:val="bottom"/>
          </w:tcPr>
          <w:p>
            <w:pPr>
              <w:ind w:left="60"/>
              <w:spacing w:after="0"/>
              <w:rPr>
                <w:sz w:val="20"/>
                <w:szCs w:val="20"/>
                <w:color w:val="auto"/>
              </w:rPr>
            </w:pPr>
            <w:r>
              <w:rPr>
                <w:rFonts w:ascii="Arial" w:cs="Arial" w:eastAsia="Arial" w:hAnsi="Arial"/>
                <w:sz w:val="14"/>
                <w:szCs w:val="14"/>
                <w:color w:val="auto"/>
              </w:rPr>
              <w:t>Smith, Martyn</w:t>
            </w:r>
          </w:p>
        </w:tc>
        <w:tc>
          <w:tcPr>
            <w:tcW w:w="720" w:type="dxa"/>
            <w:vAlign w:val="bottom"/>
          </w:tcPr>
          <w:p>
            <w:pPr>
              <w:ind w:left="260"/>
              <w:spacing w:after="0"/>
              <w:rPr>
                <w:sz w:val="20"/>
                <w:szCs w:val="20"/>
                <w:color w:val="auto"/>
              </w:rPr>
            </w:pPr>
            <w:r>
              <w:rPr>
                <w:rFonts w:ascii="Arial" w:cs="Arial" w:eastAsia="Arial" w:hAnsi="Arial"/>
                <w:sz w:val="14"/>
                <w:szCs w:val="14"/>
                <w:color w:val="auto"/>
              </w:rPr>
              <w:t>2018</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575,000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rPr>
              <w:t>473,800</w:t>
            </w:r>
          </w:p>
        </w:tc>
        <w:tc>
          <w:tcPr>
            <w:tcW w:w="1240" w:type="dxa"/>
            <w:vAlign w:val="bottom"/>
          </w:tcPr>
          <w:p>
            <w:pPr>
              <w:jc w:val="center"/>
              <w:spacing w:after="0"/>
              <w:rPr>
                <w:sz w:val="20"/>
                <w:szCs w:val="20"/>
                <w:color w:val="auto"/>
              </w:rPr>
            </w:pPr>
            <w:r>
              <w:rPr>
                <w:rFonts w:ascii="Arial" w:cs="Arial" w:eastAsia="Arial" w:hAnsi="Arial"/>
                <w:sz w:val="14"/>
                <w:szCs w:val="14"/>
                <w:color w:val="auto"/>
              </w:rPr>
              <w:t>3,271</w:t>
            </w:r>
          </w:p>
        </w:tc>
        <w:tc>
          <w:tcPr>
            <w:tcW w:w="920" w:type="dxa"/>
            <w:vAlign w:val="bottom"/>
          </w:tcPr>
          <w:p>
            <w:pPr>
              <w:jc w:val="center"/>
              <w:spacing w:after="0"/>
              <w:rPr>
                <w:sz w:val="20"/>
                <w:szCs w:val="20"/>
                <w:color w:val="auto"/>
              </w:rPr>
            </w:pPr>
            <w:r>
              <w:rPr>
                <w:rFonts w:ascii="Arial" w:cs="Arial" w:eastAsia="Arial" w:hAnsi="Arial"/>
                <w:sz w:val="14"/>
                <w:szCs w:val="14"/>
                <w:color w:val="auto"/>
              </w:rPr>
              <w:t>174,654</w:t>
            </w:r>
          </w:p>
        </w:tc>
        <w:tc>
          <w:tcPr>
            <w:tcW w:w="840" w:type="dxa"/>
            <w:vAlign w:val="bottom"/>
          </w:tcPr>
          <w:p>
            <w:pPr>
              <w:jc w:val="right"/>
              <w:spacing w:after="0"/>
              <w:rPr>
                <w:sz w:val="20"/>
                <w:szCs w:val="20"/>
                <w:color w:val="auto"/>
              </w:rPr>
            </w:pPr>
            <w:r>
              <w:rPr>
                <w:rFonts w:ascii="Arial" w:cs="Arial" w:eastAsia="Arial" w:hAnsi="Arial"/>
                <w:sz w:val="14"/>
                <w:szCs w:val="14"/>
                <w:color w:val="auto"/>
              </w:rPr>
              <w:t>1,226,725</w:t>
            </w:r>
          </w:p>
        </w:tc>
      </w:tr>
      <w:tr>
        <w:trPr>
          <w:trHeight w:val="157"/>
        </w:trPr>
        <w:tc>
          <w:tcPr>
            <w:tcW w:w="274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Former Interim CFO</w:t>
            </w:r>
          </w:p>
        </w:tc>
        <w:tc>
          <w:tcPr>
            <w:tcW w:w="72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2017</w:t>
            </w:r>
          </w:p>
        </w:tc>
        <w:tc>
          <w:tcPr>
            <w:tcW w:w="108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386,132</w:t>
            </w: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88,731</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474,863</w:t>
            </w:r>
          </w:p>
        </w:tc>
      </w:tr>
      <w:tr>
        <w:trPr>
          <w:trHeight w:val="156"/>
        </w:trPr>
        <w:tc>
          <w:tcPr>
            <w:tcW w:w="2740" w:type="dxa"/>
            <w:vAlign w:val="bottom"/>
            <w:shd w:val="clear" w:color="auto" w:fill="CCCCCC"/>
          </w:tcPr>
          <w:p>
            <w:pPr>
              <w:ind w:left="60"/>
              <w:spacing w:after="0" w:line="155" w:lineRule="exact"/>
              <w:rPr>
                <w:sz w:val="20"/>
                <w:szCs w:val="20"/>
                <w:color w:val="auto"/>
              </w:rPr>
            </w:pPr>
            <w:r>
              <w:rPr>
                <w:rFonts w:ascii="Arial" w:cs="Arial" w:eastAsia="Arial" w:hAnsi="Arial"/>
                <w:sz w:val="14"/>
                <w:szCs w:val="14"/>
                <w:color w:val="auto"/>
              </w:rPr>
              <w:t>Ferraro, Joseph A.</w:t>
            </w:r>
          </w:p>
        </w:tc>
        <w:tc>
          <w:tcPr>
            <w:tcW w:w="720" w:type="dxa"/>
            <w:vAlign w:val="bottom"/>
            <w:shd w:val="clear" w:color="auto" w:fill="CCCCCC"/>
          </w:tcPr>
          <w:p>
            <w:pPr>
              <w:ind w:left="260"/>
              <w:spacing w:after="0" w:line="155" w:lineRule="exact"/>
              <w:rPr>
                <w:sz w:val="20"/>
                <w:szCs w:val="20"/>
                <w:color w:val="auto"/>
              </w:rPr>
            </w:pPr>
            <w:r>
              <w:rPr>
                <w:rFonts w:ascii="Arial" w:cs="Arial" w:eastAsia="Arial" w:hAnsi="Arial"/>
                <w:sz w:val="14"/>
                <w:szCs w:val="14"/>
                <w:color w:val="auto"/>
              </w:rPr>
              <w:t>2018</w:t>
            </w:r>
          </w:p>
        </w:tc>
        <w:tc>
          <w:tcPr>
            <w:tcW w:w="1080" w:type="dxa"/>
            <w:vAlign w:val="bottom"/>
            <w:shd w:val="clear" w:color="auto" w:fill="CCCCCC"/>
          </w:tcPr>
          <w:p>
            <w:pPr>
              <w:jc w:val="right"/>
              <w:ind w:right="88"/>
              <w:spacing w:after="0" w:line="155" w:lineRule="exact"/>
              <w:rPr>
                <w:sz w:val="20"/>
                <w:szCs w:val="20"/>
                <w:color w:val="auto"/>
              </w:rPr>
            </w:pPr>
            <w:r>
              <w:rPr>
                <w:rFonts w:ascii="Arial" w:cs="Arial" w:eastAsia="Arial" w:hAnsi="Arial"/>
                <w:sz w:val="14"/>
                <w:szCs w:val="14"/>
                <w:color w:val="auto"/>
              </w:rPr>
              <w:t>650,000</w:t>
            </w:r>
          </w:p>
        </w:tc>
        <w:tc>
          <w:tcPr>
            <w:tcW w:w="80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w w:val="99"/>
              </w:rPr>
              <w:t>—</w:t>
            </w:r>
          </w:p>
        </w:tc>
        <w:tc>
          <w:tcPr>
            <w:tcW w:w="1000" w:type="dxa"/>
            <w:vAlign w:val="bottom"/>
            <w:shd w:val="clear" w:color="auto" w:fill="CCCCCC"/>
          </w:tcPr>
          <w:p>
            <w:pPr>
              <w:jc w:val="right"/>
              <w:ind w:right="48"/>
              <w:spacing w:after="0" w:line="155" w:lineRule="exact"/>
              <w:rPr>
                <w:sz w:val="20"/>
                <w:szCs w:val="20"/>
                <w:color w:val="auto"/>
              </w:rPr>
            </w:pPr>
            <w:r>
              <w:rPr>
                <w:rFonts w:ascii="Arial" w:cs="Arial" w:eastAsia="Arial" w:hAnsi="Arial"/>
                <w:sz w:val="14"/>
                <w:szCs w:val="14"/>
                <w:color w:val="auto"/>
              </w:rPr>
              <w:t>1,199,974</w:t>
            </w:r>
          </w:p>
        </w:tc>
        <w:tc>
          <w:tcPr>
            <w:tcW w:w="80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rPr>
              <w:t>902,525</w:t>
            </w:r>
          </w:p>
        </w:tc>
        <w:tc>
          <w:tcPr>
            <w:tcW w:w="124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w w:val="99"/>
              </w:rPr>
              <w:t>—</w:t>
            </w:r>
          </w:p>
        </w:tc>
        <w:tc>
          <w:tcPr>
            <w:tcW w:w="92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rPr>
              <w:t>52,895</w:t>
            </w:r>
          </w:p>
        </w:tc>
        <w:tc>
          <w:tcPr>
            <w:tcW w:w="840" w:type="dxa"/>
            <w:vAlign w:val="bottom"/>
            <w:shd w:val="clear" w:color="auto" w:fill="CCCCCC"/>
          </w:tcPr>
          <w:p>
            <w:pPr>
              <w:jc w:val="right"/>
              <w:spacing w:after="0" w:line="155" w:lineRule="exact"/>
              <w:rPr>
                <w:sz w:val="20"/>
                <w:szCs w:val="20"/>
                <w:color w:val="auto"/>
              </w:rPr>
            </w:pPr>
            <w:r>
              <w:rPr>
                <w:rFonts w:ascii="Arial" w:cs="Arial" w:eastAsia="Arial" w:hAnsi="Arial"/>
                <w:sz w:val="14"/>
                <w:szCs w:val="14"/>
                <w:color w:val="auto"/>
              </w:rPr>
              <w:t>2,805,394</w:t>
            </w:r>
          </w:p>
        </w:tc>
      </w:tr>
      <w:tr>
        <w:trPr>
          <w:trHeight w:val="162"/>
        </w:trPr>
        <w:tc>
          <w:tcPr>
            <w:tcW w:w="2740" w:type="dxa"/>
            <w:vAlign w:val="bottom"/>
            <w:shd w:val="clear" w:color="auto" w:fill="CCCCCC"/>
          </w:tcPr>
          <w:p>
            <w:pPr>
              <w:ind w:left="180"/>
              <w:spacing w:after="0"/>
              <w:rPr>
                <w:sz w:val="20"/>
                <w:szCs w:val="20"/>
                <w:color w:val="auto"/>
              </w:rPr>
            </w:pPr>
            <w:r>
              <w:rPr>
                <w:rFonts w:ascii="Arial" w:cs="Arial" w:eastAsia="Arial" w:hAnsi="Arial"/>
                <w:sz w:val="14"/>
                <w:szCs w:val="14"/>
                <w:color w:val="auto"/>
              </w:rPr>
              <w:t>President, Americas</w:t>
            </w:r>
          </w:p>
        </w:tc>
        <w:tc>
          <w:tcPr>
            <w:tcW w:w="720" w:type="dxa"/>
            <w:vAlign w:val="bottom"/>
            <w:shd w:val="clear" w:color="auto" w:fill="CCCCCC"/>
          </w:tcPr>
          <w:p>
            <w:pPr>
              <w:ind w:left="260"/>
              <w:spacing w:after="0"/>
              <w:rPr>
                <w:sz w:val="20"/>
                <w:szCs w:val="20"/>
                <w:color w:val="auto"/>
              </w:rPr>
            </w:pPr>
            <w:r>
              <w:rPr>
                <w:rFonts w:ascii="Arial" w:cs="Arial" w:eastAsia="Arial" w:hAnsi="Arial"/>
                <w:sz w:val="14"/>
                <w:szCs w:val="14"/>
                <w:color w:val="auto"/>
              </w:rPr>
              <w:t>2017</w:t>
            </w:r>
          </w:p>
        </w:tc>
        <w:tc>
          <w:tcPr>
            <w:tcW w:w="108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648,767</w:t>
            </w:r>
          </w:p>
        </w:tc>
        <w:tc>
          <w:tcPr>
            <w:tcW w:w="8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2,900,000</w:t>
            </w:r>
          </w:p>
        </w:tc>
        <w:tc>
          <w:tcPr>
            <w:tcW w:w="800" w:type="dxa"/>
            <w:vAlign w:val="bottom"/>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31,450</w:t>
            </w:r>
          </w:p>
        </w:tc>
        <w:tc>
          <w:tcPr>
            <w:tcW w:w="9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38,540</w:t>
            </w:r>
          </w:p>
        </w:tc>
        <w:tc>
          <w:tcPr>
            <w:tcW w:w="8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3,618,757</w:t>
            </w:r>
          </w:p>
        </w:tc>
      </w:tr>
      <w:tr>
        <w:trPr>
          <w:trHeight w:val="162"/>
        </w:trPr>
        <w:tc>
          <w:tcPr>
            <w:tcW w:w="2740" w:type="dxa"/>
            <w:vAlign w:val="bottom"/>
            <w:tcBorders>
              <w:bottom w:val="single" w:sz="8" w:color="auto"/>
            </w:tcBorders>
            <w:shd w:val="clear" w:color="auto" w:fill="CCCCCC"/>
          </w:tcPr>
          <w:p>
            <w:pPr>
              <w:spacing w:after="0"/>
              <w:rPr>
                <w:sz w:val="14"/>
                <w:szCs w:val="14"/>
                <w:color w:val="auto"/>
              </w:rPr>
            </w:pPr>
          </w:p>
        </w:tc>
        <w:tc>
          <w:tcPr>
            <w:tcW w:w="720" w:type="dxa"/>
            <w:vAlign w:val="bottom"/>
            <w:tcBorders>
              <w:bottom w:val="single" w:sz="8" w:color="auto"/>
            </w:tcBorders>
            <w:shd w:val="clear" w:color="auto" w:fill="CCCCCC"/>
          </w:tcPr>
          <w:p>
            <w:pPr>
              <w:ind w:left="260"/>
              <w:spacing w:after="0"/>
              <w:rPr>
                <w:sz w:val="20"/>
                <w:szCs w:val="20"/>
                <w:color w:val="auto"/>
              </w:rPr>
            </w:pPr>
            <w:r>
              <w:rPr>
                <w:rFonts w:ascii="Arial" w:cs="Arial" w:eastAsia="Arial" w:hAnsi="Arial"/>
                <w:sz w:val="14"/>
                <w:szCs w:val="14"/>
                <w:color w:val="auto"/>
              </w:rPr>
              <w:t>2016</w:t>
            </w:r>
          </w:p>
        </w:tc>
        <w:tc>
          <w:tcPr>
            <w:tcW w:w="1080" w:type="dxa"/>
            <w:vAlign w:val="bottom"/>
            <w:tcBorders>
              <w:bottom w:val="single" w:sz="8" w:color="auto"/>
            </w:tcBorders>
            <w:shd w:val="clear" w:color="auto" w:fill="CCCCCC"/>
          </w:tcPr>
          <w:p>
            <w:pPr>
              <w:jc w:val="right"/>
              <w:ind w:right="88"/>
              <w:spacing w:after="0"/>
              <w:rPr>
                <w:sz w:val="20"/>
                <w:szCs w:val="20"/>
                <w:color w:val="auto"/>
              </w:rPr>
            </w:pPr>
            <w:r>
              <w:rPr>
                <w:rFonts w:ascii="Arial" w:cs="Arial" w:eastAsia="Arial" w:hAnsi="Arial"/>
                <w:sz w:val="14"/>
                <w:szCs w:val="14"/>
                <w:color w:val="auto"/>
              </w:rPr>
              <w:t>623,269</w:t>
            </w:r>
          </w:p>
        </w:tc>
        <w:tc>
          <w:tcPr>
            <w:tcW w:w="8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1,177,554</w:t>
            </w:r>
          </w:p>
        </w:tc>
        <w:tc>
          <w:tcPr>
            <w:tcW w:w="80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275,797</w:t>
            </w:r>
          </w:p>
        </w:tc>
        <w:tc>
          <w:tcPr>
            <w:tcW w:w="12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25,896</w:t>
            </w:r>
          </w:p>
        </w:tc>
        <w:tc>
          <w:tcPr>
            <w:tcW w:w="9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34,077</w:t>
            </w:r>
          </w:p>
        </w:tc>
        <w:tc>
          <w:tcPr>
            <w:tcW w:w="8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2,136,593</w:t>
            </w:r>
          </w:p>
        </w:tc>
      </w:tr>
      <w:tr>
        <w:trPr>
          <w:trHeight w:val="160"/>
        </w:trPr>
        <w:tc>
          <w:tcPr>
            <w:tcW w:w="2740" w:type="dxa"/>
            <w:vAlign w:val="bottom"/>
          </w:tcPr>
          <w:p>
            <w:pPr>
              <w:ind w:left="60"/>
              <w:spacing w:after="0"/>
              <w:rPr>
                <w:sz w:val="20"/>
                <w:szCs w:val="20"/>
                <w:color w:val="auto"/>
              </w:rPr>
            </w:pPr>
            <w:r>
              <w:rPr>
                <w:rFonts w:ascii="Arial" w:cs="Arial" w:eastAsia="Arial" w:hAnsi="Arial"/>
                <w:sz w:val="14"/>
                <w:szCs w:val="14"/>
                <w:color w:val="auto"/>
              </w:rPr>
              <w:t>Servodidio, Mark J.</w:t>
            </w:r>
          </w:p>
        </w:tc>
        <w:tc>
          <w:tcPr>
            <w:tcW w:w="720" w:type="dxa"/>
            <w:vAlign w:val="bottom"/>
          </w:tcPr>
          <w:p>
            <w:pPr>
              <w:ind w:left="260"/>
              <w:spacing w:after="0"/>
              <w:rPr>
                <w:sz w:val="20"/>
                <w:szCs w:val="20"/>
                <w:color w:val="auto"/>
              </w:rPr>
            </w:pPr>
            <w:r>
              <w:rPr>
                <w:rFonts w:ascii="Arial" w:cs="Arial" w:eastAsia="Arial" w:hAnsi="Arial"/>
                <w:sz w:val="14"/>
                <w:szCs w:val="14"/>
                <w:color w:val="auto"/>
              </w:rPr>
              <w:t>2018</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625,000</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1,199,974</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rPr>
              <w:t>288,750</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1,851,334</w:t>
            </w:r>
          </w:p>
        </w:tc>
        <w:tc>
          <w:tcPr>
            <w:tcW w:w="840" w:type="dxa"/>
            <w:vAlign w:val="bottom"/>
          </w:tcPr>
          <w:p>
            <w:pPr>
              <w:jc w:val="right"/>
              <w:spacing w:after="0"/>
              <w:rPr>
                <w:sz w:val="20"/>
                <w:szCs w:val="20"/>
                <w:color w:val="auto"/>
              </w:rPr>
            </w:pPr>
            <w:r>
              <w:rPr>
                <w:rFonts w:ascii="Arial" w:cs="Arial" w:eastAsia="Arial" w:hAnsi="Arial"/>
                <w:sz w:val="14"/>
                <w:szCs w:val="14"/>
                <w:color w:val="auto"/>
              </w:rPr>
              <w:t>3,965,058</w:t>
            </w:r>
          </w:p>
        </w:tc>
      </w:tr>
      <w:tr>
        <w:trPr>
          <w:trHeight w:val="162"/>
        </w:trPr>
        <w:tc>
          <w:tcPr>
            <w:tcW w:w="2740" w:type="dxa"/>
            <w:vAlign w:val="bottom"/>
          </w:tcPr>
          <w:p>
            <w:pPr>
              <w:ind w:left="180"/>
              <w:spacing w:after="0"/>
              <w:rPr>
                <w:sz w:val="20"/>
                <w:szCs w:val="20"/>
                <w:color w:val="auto"/>
              </w:rPr>
            </w:pPr>
            <w:r>
              <w:rPr>
                <w:rFonts w:ascii="Arial" w:cs="Arial" w:eastAsia="Arial" w:hAnsi="Arial"/>
                <w:sz w:val="14"/>
                <w:szCs w:val="14"/>
                <w:color w:val="auto"/>
              </w:rPr>
              <w:t>President, International</w:t>
            </w:r>
          </w:p>
        </w:tc>
        <w:tc>
          <w:tcPr>
            <w:tcW w:w="720" w:type="dxa"/>
            <w:vAlign w:val="bottom"/>
          </w:tcPr>
          <w:p>
            <w:pPr>
              <w:ind w:left="260"/>
              <w:spacing w:after="0"/>
              <w:rPr>
                <w:sz w:val="20"/>
                <w:szCs w:val="20"/>
                <w:color w:val="auto"/>
              </w:rPr>
            </w:pPr>
            <w:r>
              <w:rPr>
                <w:rFonts w:ascii="Arial" w:cs="Arial" w:eastAsia="Arial" w:hAnsi="Arial"/>
                <w:sz w:val="14"/>
                <w:szCs w:val="14"/>
                <w:color w:val="auto"/>
              </w:rPr>
              <w:t>2017</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623,767</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1,850,008</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center"/>
              <w:spacing w:after="0"/>
              <w:rPr>
                <w:sz w:val="20"/>
                <w:szCs w:val="20"/>
                <w:color w:val="auto"/>
              </w:rPr>
            </w:pPr>
            <w:r>
              <w:rPr>
                <w:rFonts w:ascii="Arial" w:cs="Arial" w:eastAsia="Arial" w:hAnsi="Arial"/>
                <w:sz w:val="14"/>
                <w:szCs w:val="14"/>
                <w:color w:val="auto"/>
              </w:rPr>
              <w:t>302,950</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rPr>
              <w:t>1,020,757</w:t>
            </w:r>
          </w:p>
        </w:tc>
        <w:tc>
          <w:tcPr>
            <w:tcW w:w="840" w:type="dxa"/>
            <w:vAlign w:val="bottom"/>
          </w:tcPr>
          <w:p>
            <w:pPr>
              <w:jc w:val="right"/>
              <w:spacing w:after="0"/>
              <w:rPr>
                <w:sz w:val="20"/>
                <w:szCs w:val="20"/>
                <w:color w:val="auto"/>
              </w:rPr>
            </w:pPr>
            <w:r>
              <w:rPr>
                <w:rFonts w:ascii="Arial" w:cs="Arial" w:eastAsia="Arial" w:hAnsi="Arial"/>
                <w:sz w:val="14"/>
                <w:szCs w:val="14"/>
                <w:color w:val="auto"/>
              </w:rPr>
              <w:t>3,797,482</w:t>
            </w:r>
          </w:p>
        </w:tc>
      </w:tr>
      <w:tr>
        <w:trPr>
          <w:trHeight w:val="157"/>
        </w:trPr>
        <w:tc>
          <w:tcPr>
            <w:tcW w:w="27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2016</w:t>
            </w:r>
          </w:p>
        </w:tc>
        <w:tc>
          <w:tcPr>
            <w:tcW w:w="108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596,538</w:t>
            </w: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0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1,177,554</w:t>
            </w:r>
          </w:p>
        </w:tc>
        <w:tc>
          <w:tcPr>
            <w:tcW w:w="8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395,237</w:t>
            </w:r>
          </w:p>
        </w:tc>
        <w:tc>
          <w:tcPr>
            <w:tcW w:w="12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2,108,324</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4,277,653</w:t>
            </w:r>
          </w:p>
        </w:tc>
      </w:tr>
      <w:tr>
        <w:trPr>
          <w:trHeight w:val="156"/>
        </w:trPr>
        <w:tc>
          <w:tcPr>
            <w:tcW w:w="2740" w:type="dxa"/>
            <w:vAlign w:val="bottom"/>
            <w:shd w:val="clear" w:color="auto" w:fill="CCCCCC"/>
          </w:tcPr>
          <w:p>
            <w:pPr>
              <w:ind w:left="60"/>
              <w:spacing w:after="0" w:line="155" w:lineRule="exact"/>
              <w:rPr>
                <w:sz w:val="20"/>
                <w:szCs w:val="20"/>
                <w:color w:val="auto"/>
              </w:rPr>
            </w:pPr>
            <w:r>
              <w:rPr>
                <w:rFonts w:ascii="Arial" w:cs="Arial" w:eastAsia="Arial" w:hAnsi="Arial"/>
                <w:sz w:val="14"/>
                <w:szCs w:val="14"/>
                <w:color w:val="auto"/>
              </w:rPr>
              <w:t>Michael K. Tucker</w:t>
            </w:r>
          </w:p>
        </w:tc>
        <w:tc>
          <w:tcPr>
            <w:tcW w:w="720" w:type="dxa"/>
            <w:vAlign w:val="bottom"/>
            <w:shd w:val="clear" w:color="auto" w:fill="CCCCCC"/>
          </w:tcPr>
          <w:p>
            <w:pPr>
              <w:ind w:left="260"/>
              <w:spacing w:after="0" w:line="155" w:lineRule="exact"/>
              <w:rPr>
                <w:sz w:val="20"/>
                <w:szCs w:val="20"/>
                <w:color w:val="auto"/>
              </w:rPr>
            </w:pPr>
            <w:r>
              <w:rPr>
                <w:rFonts w:ascii="Arial" w:cs="Arial" w:eastAsia="Arial" w:hAnsi="Arial"/>
                <w:sz w:val="14"/>
                <w:szCs w:val="14"/>
                <w:color w:val="auto"/>
              </w:rPr>
              <w:t>2018</w:t>
            </w:r>
          </w:p>
        </w:tc>
        <w:tc>
          <w:tcPr>
            <w:tcW w:w="1080" w:type="dxa"/>
            <w:vAlign w:val="bottom"/>
            <w:shd w:val="clear" w:color="auto" w:fill="CCCCCC"/>
          </w:tcPr>
          <w:p>
            <w:pPr>
              <w:jc w:val="right"/>
              <w:ind w:right="88"/>
              <w:spacing w:after="0" w:line="155" w:lineRule="exact"/>
              <w:rPr>
                <w:sz w:val="20"/>
                <w:szCs w:val="20"/>
                <w:color w:val="auto"/>
              </w:rPr>
            </w:pPr>
            <w:r>
              <w:rPr>
                <w:rFonts w:ascii="Arial" w:cs="Arial" w:eastAsia="Arial" w:hAnsi="Arial"/>
                <w:sz w:val="14"/>
                <w:szCs w:val="14"/>
                <w:color w:val="auto"/>
              </w:rPr>
              <w:t>500,000</w:t>
            </w:r>
          </w:p>
        </w:tc>
        <w:tc>
          <w:tcPr>
            <w:tcW w:w="80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w w:val="99"/>
              </w:rPr>
              <w:t>—</w:t>
            </w:r>
          </w:p>
        </w:tc>
        <w:tc>
          <w:tcPr>
            <w:tcW w:w="1000" w:type="dxa"/>
            <w:vAlign w:val="bottom"/>
            <w:shd w:val="clear" w:color="auto" w:fill="CCCCCC"/>
          </w:tcPr>
          <w:p>
            <w:pPr>
              <w:jc w:val="right"/>
              <w:ind w:right="48"/>
              <w:spacing w:after="0" w:line="155" w:lineRule="exact"/>
              <w:rPr>
                <w:sz w:val="20"/>
                <w:szCs w:val="20"/>
                <w:color w:val="auto"/>
              </w:rPr>
            </w:pPr>
            <w:r>
              <w:rPr>
                <w:rFonts w:ascii="Arial" w:cs="Arial" w:eastAsia="Arial" w:hAnsi="Arial"/>
                <w:sz w:val="14"/>
                <w:szCs w:val="14"/>
                <w:color w:val="auto"/>
              </w:rPr>
              <w:t>500,013</w:t>
            </w:r>
          </w:p>
        </w:tc>
        <w:tc>
          <w:tcPr>
            <w:tcW w:w="80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w w:val="99"/>
              </w:rPr>
              <w:t>—</w:t>
            </w:r>
          </w:p>
        </w:tc>
        <w:tc>
          <w:tcPr>
            <w:tcW w:w="128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rPr>
              <w:t>386,250</w:t>
            </w:r>
          </w:p>
        </w:tc>
        <w:tc>
          <w:tcPr>
            <w:tcW w:w="124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w w:val="99"/>
              </w:rPr>
              <w:t>—</w:t>
            </w:r>
          </w:p>
        </w:tc>
        <w:tc>
          <w:tcPr>
            <w:tcW w:w="92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rPr>
              <w:t>33,718</w:t>
            </w:r>
          </w:p>
        </w:tc>
        <w:tc>
          <w:tcPr>
            <w:tcW w:w="840" w:type="dxa"/>
            <w:vAlign w:val="bottom"/>
            <w:shd w:val="clear" w:color="auto" w:fill="CCCCCC"/>
          </w:tcPr>
          <w:p>
            <w:pPr>
              <w:jc w:val="right"/>
              <w:spacing w:after="0" w:line="155" w:lineRule="exact"/>
              <w:rPr>
                <w:sz w:val="20"/>
                <w:szCs w:val="20"/>
                <w:color w:val="auto"/>
              </w:rPr>
            </w:pPr>
            <w:r>
              <w:rPr>
                <w:rFonts w:ascii="Arial" w:cs="Arial" w:eastAsia="Arial" w:hAnsi="Arial"/>
                <w:sz w:val="14"/>
                <w:szCs w:val="14"/>
                <w:color w:val="auto"/>
              </w:rPr>
              <w:t>1,419,981</w:t>
            </w:r>
          </w:p>
        </w:tc>
      </w:tr>
      <w:tr>
        <w:trPr>
          <w:trHeight w:val="162"/>
        </w:trPr>
        <w:tc>
          <w:tcPr>
            <w:tcW w:w="2740" w:type="dxa"/>
            <w:vAlign w:val="bottom"/>
            <w:shd w:val="clear" w:color="auto" w:fill="CCCCCC"/>
          </w:tcPr>
          <w:p>
            <w:pPr>
              <w:ind w:left="180"/>
              <w:spacing w:after="0"/>
              <w:rPr>
                <w:sz w:val="20"/>
                <w:szCs w:val="20"/>
                <w:color w:val="auto"/>
              </w:rPr>
            </w:pPr>
            <w:r>
              <w:rPr>
                <w:rFonts w:ascii="Arial" w:cs="Arial" w:eastAsia="Arial" w:hAnsi="Arial"/>
                <w:sz w:val="14"/>
                <w:szCs w:val="14"/>
                <w:color w:val="auto"/>
              </w:rPr>
              <w:t>EVP, General</w:t>
            </w:r>
          </w:p>
        </w:tc>
        <w:tc>
          <w:tcPr>
            <w:tcW w:w="720" w:type="dxa"/>
            <w:vAlign w:val="bottom"/>
            <w:shd w:val="clear" w:color="auto" w:fill="CCCCCC"/>
          </w:tcPr>
          <w:p>
            <w:pPr>
              <w:spacing w:after="0"/>
              <w:rPr>
                <w:sz w:val="14"/>
                <w:szCs w:val="14"/>
                <w:color w:val="auto"/>
              </w:rPr>
            </w:pPr>
          </w:p>
        </w:tc>
        <w:tc>
          <w:tcPr>
            <w:tcW w:w="108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10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128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c>
          <w:tcPr>
            <w:tcW w:w="840" w:type="dxa"/>
            <w:vAlign w:val="bottom"/>
            <w:shd w:val="clear" w:color="auto" w:fill="CCCCCC"/>
          </w:tcPr>
          <w:p>
            <w:pPr>
              <w:spacing w:after="0"/>
              <w:rPr>
                <w:sz w:val="14"/>
                <w:szCs w:val="14"/>
                <w:color w:val="auto"/>
              </w:rPr>
            </w:pPr>
          </w:p>
        </w:tc>
      </w:tr>
      <w:tr>
        <w:trPr>
          <w:trHeight w:val="162"/>
        </w:trPr>
        <w:tc>
          <w:tcPr>
            <w:tcW w:w="2740" w:type="dxa"/>
            <w:vAlign w:val="bottom"/>
            <w:shd w:val="clear" w:color="auto" w:fill="CCCCCC"/>
          </w:tcPr>
          <w:p>
            <w:pPr>
              <w:ind w:left="180"/>
              <w:spacing w:after="0"/>
              <w:rPr>
                <w:sz w:val="20"/>
                <w:szCs w:val="20"/>
                <w:color w:val="auto"/>
              </w:rPr>
            </w:pPr>
            <w:r>
              <w:rPr>
                <w:rFonts w:ascii="Arial" w:cs="Arial" w:eastAsia="Arial" w:hAnsi="Arial"/>
                <w:sz w:val="14"/>
                <w:szCs w:val="14"/>
                <w:color w:val="auto"/>
              </w:rPr>
              <w:t>Counsel and Chief</w:t>
            </w:r>
          </w:p>
        </w:tc>
        <w:tc>
          <w:tcPr>
            <w:tcW w:w="720" w:type="dxa"/>
            <w:vAlign w:val="bottom"/>
            <w:shd w:val="clear" w:color="auto" w:fill="CCCCCC"/>
          </w:tcPr>
          <w:p>
            <w:pPr>
              <w:spacing w:after="0"/>
              <w:rPr>
                <w:sz w:val="14"/>
                <w:szCs w:val="14"/>
                <w:color w:val="auto"/>
              </w:rPr>
            </w:pPr>
          </w:p>
        </w:tc>
        <w:tc>
          <w:tcPr>
            <w:tcW w:w="108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1000" w:type="dxa"/>
            <w:vAlign w:val="bottom"/>
            <w:shd w:val="clear" w:color="auto" w:fill="CCCCCC"/>
          </w:tcPr>
          <w:p>
            <w:pPr>
              <w:spacing w:after="0"/>
              <w:rPr>
                <w:sz w:val="14"/>
                <w:szCs w:val="14"/>
                <w:color w:val="auto"/>
              </w:rPr>
            </w:pPr>
          </w:p>
        </w:tc>
        <w:tc>
          <w:tcPr>
            <w:tcW w:w="800" w:type="dxa"/>
            <w:vAlign w:val="bottom"/>
            <w:shd w:val="clear" w:color="auto" w:fill="CCCCCC"/>
          </w:tcPr>
          <w:p>
            <w:pPr>
              <w:spacing w:after="0"/>
              <w:rPr>
                <w:sz w:val="14"/>
                <w:szCs w:val="14"/>
                <w:color w:val="auto"/>
              </w:rPr>
            </w:pPr>
          </w:p>
        </w:tc>
        <w:tc>
          <w:tcPr>
            <w:tcW w:w="1280" w:type="dxa"/>
            <w:vAlign w:val="bottom"/>
            <w:shd w:val="clear" w:color="auto" w:fill="CCCCCC"/>
          </w:tcPr>
          <w:p>
            <w:pPr>
              <w:spacing w:after="0"/>
              <w:rPr>
                <w:sz w:val="14"/>
                <w:szCs w:val="14"/>
                <w:color w:val="auto"/>
              </w:rPr>
            </w:pPr>
          </w:p>
        </w:tc>
        <w:tc>
          <w:tcPr>
            <w:tcW w:w="124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c>
          <w:tcPr>
            <w:tcW w:w="840" w:type="dxa"/>
            <w:vAlign w:val="bottom"/>
            <w:shd w:val="clear" w:color="auto" w:fill="CCCCCC"/>
          </w:tcPr>
          <w:p>
            <w:pPr>
              <w:spacing w:after="0"/>
              <w:rPr>
                <w:sz w:val="14"/>
                <w:szCs w:val="14"/>
                <w:color w:val="auto"/>
              </w:rPr>
            </w:pPr>
          </w:p>
        </w:tc>
      </w:tr>
      <w:tr>
        <w:trPr>
          <w:trHeight w:val="169"/>
        </w:trPr>
        <w:tc>
          <w:tcPr>
            <w:tcW w:w="274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4"/>
                <w:szCs w:val="14"/>
                <w:color w:val="auto"/>
              </w:rPr>
              <w:t>Compliance Officer</w:t>
            </w:r>
          </w:p>
        </w:tc>
        <w:tc>
          <w:tcPr>
            <w:tcW w:w="720" w:type="dxa"/>
            <w:vAlign w:val="bottom"/>
            <w:tcBorders>
              <w:bottom w:val="single" w:sz="8" w:color="auto"/>
            </w:tcBorders>
            <w:shd w:val="clear" w:color="auto" w:fill="CCCCCC"/>
          </w:tcPr>
          <w:p>
            <w:pPr>
              <w:spacing w:after="0"/>
              <w:rPr>
                <w:sz w:val="14"/>
                <w:szCs w:val="14"/>
                <w:color w:val="auto"/>
              </w:rPr>
            </w:pPr>
          </w:p>
        </w:tc>
        <w:tc>
          <w:tcPr>
            <w:tcW w:w="1080" w:type="dxa"/>
            <w:vAlign w:val="bottom"/>
            <w:tcBorders>
              <w:bottom w:val="single" w:sz="8" w:color="auto"/>
            </w:tcBorders>
            <w:shd w:val="clear" w:color="auto" w:fill="CCCCCC"/>
          </w:tcPr>
          <w:p>
            <w:pPr>
              <w:spacing w:after="0"/>
              <w:rPr>
                <w:sz w:val="14"/>
                <w:szCs w:val="14"/>
                <w:color w:val="auto"/>
              </w:rPr>
            </w:pPr>
          </w:p>
        </w:tc>
        <w:tc>
          <w:tcPr>
            <w:tcW w:w="800" w:type="dxa"/>
            <w:vAlign w:val="bottom"/>
            <w:tcBorders>
              <w:bottom w:val="single" w:sz="8" w:color="auto"/>
            </w:tcBorders>
            <w:shd w:val="clear" w:color="auto" w:fill="CCCCCC"/>
          </w:tcPr>
          <w:p>
            <w:pPr>
              <w:spacing w:after="0"/>
              <w:rPr>
                <w:sz w:val="14"/>
                <w:szCs w:val="14"/>
                <w:color w:val="auto"/>
              </w:rPr>
            </w:pPr>
          </w:p>
        </w:tc>
        <w:tc>
          <w:tcPr>
            <w:tcW w:w="1000" w:type="dxa"/>
            <w:vAlign w:val="bottom"/>
            <w:tcBorders>
              <w:bottom w:val="single" w:sz="8" w:color="auto"/>
            </w:tcBorders>
            <w:shd w:val="clear" w:color="auto" w:fill="CCCCCC"/>
          </w:tcPr>
          <w:p>
            <w:pPr>
              <w:spacing w:after="0"/>
              <w:rPr>
                <w:sz w:val="14"/>
                <w:szCs w:val="14"/>
                <w:color w:val="auto"/>
              </w:rPr>
            </w:pPr>
          </w:p>
        </w:tc>
        <w:tc>
          <w:tcPr>
            <w:tcW w:w="800" w:type="dxa"/>
            <w:vAlign w:val="bottom"/>
            <w:tcBorders>
              <w:bottom w:val="single" w:sz="8" w:color="auto"/>
            </w:tcBorders>
            <w:shd w:val="clear" w:color="auto" w:fill="CCCCCC"/>
          </w:tcPr>
          <w:p>
            <w:pPr>
              <w:spacing w:after="0"/>
              <w:rPr>
                <w:sz w:val="14"/>
                <w:szCs w:val="14"/>
                <w:color w:val="auto"/>
              </w:rPr>
            </w:pPr>
          </w:p>
        </w:tc>
        <w:tc>
          <w:tcPr>
            <w:tcW w:w="1280" w:type="dxa"/>
            <w:vAlign w:val="bottom"/>
            <w:tcBorders>
              <w:bottom w:val="single" w:sz="8" w:color="auto"/>
            </w:tcBorders>
            <w:shd w:val="clear" w:color="auto" w:fill="CCCCCC"/>
          </w:tcPr>
          <w:p>
            <w:pPr>
              <w:spacing w:after="0"/>
              <w:rPr>
                <w:sz w:val="14"/>
                <w:szCs w:val="14"/>
                <w:color w:val="auto"/>
              </w:rPr>
            </w:pPr>
          </w:p>
        </w:tc>
        <w:tc>
          <w:tcPr>
            <w:tcW w:w="1240" w:type="dxa"/>
            <w:vAlign w:val="bottom"/>
            <w:tcBorders>
              <w:bottom w:val="single" w:sz="8" w:color="auto"/>
            </w:tcBorders>
            <w:shd w:val="clear" w:color="auto" w:fill="CCCCCC"/>
          </w:tcPr>
          <w:p>
            <w:pPr>
              <w:spacing w:after="0"/>
              <w:rPr>
                <w:sz w:val="14"/>
                <w:szCs w:val="14"/>
                <w:color w:val="auto"/>
              </w:rPr>
            </w:pPr>
          </w:p>
        </w:tc>
        <w:tc>
          <w:tcPr>
            <w:tcW w:w="920" w:type="dxa"/>
            <w:vAlign w:val="bottom"/>
            <w:tcBorders>
              <w:bottom w:val="single" w:sz="8" w:color="auto"/>
            </w:tcBorders>
            <w:shd w:val="clear" w:color="auto" w:fill="CCCCCC"/>
          </w:tcPr>
          <w:p>
            <w:pPr>
              <w:spacing w:after="0"/>
              <w:rPr>
                <w:sz w:val="14"/>
                <w:szCs w:val="14"/>
                <w:color w:val="auto"/>
              </w:rPr>
            </w:pPr>
          </w:p>
        </w:tc>
        <w:tc>
          <w:tcPr>
            <w:tcW w:w="840" w:type="dxa"/>
            <w:vAlign w:val="bottom"/>
            <w:tcBorders>
              <w:bottom w:val="single" w:sz="8" w:color="auto"/>
            </w:tcBorders>
            <w:shd w:val="clear" w:color="auto" w:fill="CCCCCC"/>
          </w:tcPr>
          <w:p>
            <w:pPr>
              <w:spacing w:after="0"/>
              <w:rPr>
                <w:sz w:val="14"/>
                <w:szCs w:val="14"/>
                <w:color w:val="auto"/>
              </w:rPr>
            </w:pPr>
          </w:p>
        </w:tc>
      </w:tr>
    </w:tbl>
    <w:p>
      <w:pPr>
        <w:spacing w:after="0" w:line="167"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Salary includes amounts deferred under the Company’s Deferred Compensation Plan or 401(k) Plan.</w:t>
      </w:r>
    </w:p>
    <w:p>
      <w:pPr>
        <w:spacing w:after="0" w:line="163"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2018 stock awards are included in Note 16 to our audited financial statements for the fiscal year ended December 31, 2018, included in our 2018 Form 10-K. The grant date value of the 2018 stock awards assuming achievement of the highest level of performance conditions are: for Mr. De Shon, $8,800,000; Mr. Ferraro, $1,799,961; Mr. Servodidio, $1,799,961 and Mr. Tucker, $650,022. The 2018 stock awards are further discussed in the Compensation Discussion &amp; Analysis (the “CD&amp;A”).</w:t>
      </w:r>
    </w:p>
    <w:p>
      <w:pPr>
        <w:spacing w:after="0" w:line="15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2018, amounts reflected were earned based on the terms of the 2018 AIP as further discussed in the CD&amp;A and include amounts deferred under the Company’s Deferred Compensation Plan. For prior years, amounts were earned based on pre-established annual performance goals and include amounts deferred under the Company’s Deferred Compensation Plan.</w:t>
      </w:r>
    </w:p>
    <w:p>
      <w:pPr>
        <w:spacing w:after="0" w:line="145"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Mr. Ferraro, the reported change in pension value for 2016 and 2017 represents the change in value accumulated in the Avis Rent A Car System, LLC Pension Plan. During 2018, Mr. Ferraro’s pension value decreased by $20,594, primarily driven by an increase in the discount rate. Avis froze this qualified defined benefit pension plan to new participation and future benefit accruals as of December 31, 1998. For Mr. Smith, the reported change in pension value during the year represents the increased value accumulated in the Avis UK Pension Plan. Pension values for Mr. Smith reflect a £/$exchange rate as of the date paid, received, or allocated. Please see the “Pension Benefits Table” for further information regarding these plans.</w:t>
      </w:r>
    </w:p>
    <w:p>
      <w:pPr>
        <w:spacing w:after="0" w:line="150"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Other Compensation is comprised of the benefits and perquisites presented in the following tables.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 Other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Company</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Contributions</w:t>
            </w:r>
          </w:p>
        </w:tc>
        <w:tc>
          <w:tcPr>
            <w:tcW w:w="1380" w:type="dxa"/>
            <w:vAlign w:val="bottom"/>
          </w:tcPr>
          <w:p>
            <w:pPr>
              <w:spacing w:after="0"/>
              <w:rPr>
                <w:sz w:val="14"/>
                <w:szCs w:val="14"/>
                <w:color w:val="auto"/>
              </w:rPr>
            </w:pPr>
          </w:p>
        </w:tc>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rPr>
              <w:t>Expatriate,</w:t>
            </w: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Tax</w:t>
            </w:r>
          </w:p>
        </w:tc>
        <w:tc>
          <w:tcPr>
            <w:tcW w:w="124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To Deferred</w:t>
            </w:r>
          </w:p>
        </w:tc>
        <w:tc>
          <w:tcPr>
            <w:tcW w:w="1380" w:type="dxa"/>
            <w:vAlign w:val="bottom"/>
          </w:tcPr>
          <w:p>
            <w:pPr>
              <w:spacing w:after="0"/>
              <w:rPr>
                <w:sz w:val="14"/>
                <w:szCs w:val="14"/>
                <w:color w:val="auto"/>
              </w:rPr>
            </w:pPr>
          </w:p>
        </w:tc>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rPr>
              <w:t>Relocation</w:t>
            </w: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Equalization</w:t>
            </w:r>
          </w:p>
        </w:tc>
        <w:tc>
          <w:tcPr>
            <w:tcW w:w="124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center"/>
              <w:ind w:right="168"/>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and Other</w:t>
            </w: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and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3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Plans</w:t>
            </w: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Perquisites</w:t>
            </w: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Benefits</w:t>
            </w: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Reimbursement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r>
      <w:tr>
        <w:trPr>
          <w:trHeight w:val="182"/>
        </w:trPr>
        <w:tc>
          <w:tcPr>
            <w:tcW w:w="3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Year</w:t>
            </w:r>
          </w:p>
        </w:tc>
        <w:tc>
          <w:tcPr>
            <w:tcW w:w="15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($)(a)</w:t>
            </w: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($)(b)</w:t>
            </w:r>
          </w:p>
        </w:tc>
        <w:tc>
          <w:tcPr>
            <w:tcW w:w="12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w:t>
            </w: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62"/>
        </w:trPr>
        <w:tc>
          <w:tcPr>
            <w:tcW w:w="3780" w:type="dxa"/>
            <w:vAlign w:val="bottom"/>
            <w:shd w:val="clear" w:color="auto" w:fill="CCCCCC"/>
          </w:tcPr>
          <w:p>
            <w:pPr>
              <w:ind w:left="60"/>
              <w:spacing w:after="0"/>
              <w:rPr>
                <w:sz w:val="20"/>
                <w:szCs w:val="20"/>
                <w:color w:val="auto"/>
              </w:rPr>
            </w:pPr>
            <w:r>
              <w:rPr>
                <w:rFonts w:ascii="Arial" w:cs="Arial" w:eastAsia="Arial" w:hAnsi="Arial"/>
                <w:sz w:val="14"/>
                <w:szCs w:val="14"/>
                <w:color w:val="auto"/>
              </w:rPr>
              <w:t>Mr. De Shon</w:t>
            </w:r>
          </w:p>
        </w:tc>
        <w:tc>
          <w:tcPr>
            <w:tcW w:w="86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2018</w:t>
            </w:r>
          </w:p>
        </w:tc>
        <w:tc>
          <w:tcPr>
            <w:tcW w:w="152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66,000</w:t>
            </w:r>
          </w:p>
        </w:tc>
        <w:tc>
          <w:tcPr>
            <w:tcW w:w="13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57,392</w:t>
            </w:r>
          </w:p>
        </w:tc>
        <w:tc>
          <w:tcPr>
            <w:tcW w:w="12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756</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3,518</w:t>
            </w:r>
          </w:p>
        </w:tc>
        <w:tc>
          <w:tcPr>
            <w:tcW w:w="12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127,666</w:t>
            </w:r>
          </w:p>
        </w:tc>
      </w:tr>
      <w:tr>
        <w:trPr>
          <w:trHeight w:val="162"/>
        </w:trPr>
        <w:tc>
          <w:tcPr>
            <w:tcW w:w="3780" w:type="dxa"/>
            <w:vAlign w:val="bottom"/>
            <w:shd w:val="clear" w:color="auto" w:fill="CCCCCC"/>
          </w:tcPr>
          <w:p>
            <w:pPr>
              <w:spacing w:after="0"/>
              <w:rPr>
                <w:sz w:val="14"/>
                <w:szCs w:val="14"/>
                <w:color w:val="auto"/>
              </w:rPr>
            </w:pPr>
          </w:p>
        </w:tc>
        <w:tc>
          <w:tcPr>
            <w:tcW w:w="86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2017</w:t>
            </w:r>
          </w:p>
        </w:tc>
        <w:tc>
          <w:tcPr>
            <w:tcW w:w="152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104,769</w:t>
            </w:r>
          </w:p>
        </w:tc>
        <w:tc>
          <w:tcPr>
            <w:tcW w:w="13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43,977</w:t>
            </w:r>
          </w:p>
        </w:tc>
        <w:tc>
          <w:tcPr>
            <w:tcW w:w="12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756</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189,516</w:t>
            </w:r>
          </w:p>
        </w:tc>
        <w:tc>
          <w:tcPr>
            <w:tcW w:w="12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339,018</w:t>
            </w:r>
          </w:p>
        </w:tc>
      </w:tr>
      <w:tr>
        <w:trPr>
          <w:trHeight w:val="162"/>
        </w:trPr>
        <w:tc>
          <w:tcPr>
            <w:tcW w:w="3780" w:type="dxa"/>
            <w:vAlign w:val="bottom"/>
            <w:tcBorders>
              <w:bottom w:val="single" w:sz="8" w:color="auto"/>
            </w:tcBorders>
            <w:shd w:val="clear" w:color="auto" w:fill="CCCCCC"/>
          </w:tcPr>
          <w:p>
            <w:pPr>
              <w:spacing w:after="0"/>
              <w:rPr>
                <w:sz w:val="14"/>
                <w:szCs w:val="14"/>
                <w:color w:val="auto"/>
              </w:rPr>
            </w:pPr>
          </w:p>
        </w:tc>
        <w:tc>
          <w:tcPr>
            <w:tcW w:w="860" w:type="dxa"/>
            <w:vAlign w:val="bottom"/>
            <w:tcBorders>
              <w:bottom w:val="single" w:sz="8" w:color="auto"/>
            </w:tcBorders>
            <w:shd w:val="clear" w:color="auto" w:fill="CCCCCC"/>
          </w:tcPr>
          <w:p>
            <w:pPr>
              <w:jc w:val="right"/>
              <w:ind w:right="88"/>
              <w:spacing w:after="0"/>
              <w:rPr>
                <w:sz w:val="20"/>
                <w:szCs w:val="20"/>
                <w:color w:val="auto"/>
              </w:rPr>
            </w:pPr>
            <w:r>
              <w:rPr>
                <w:rFonts w:ascii="Arial" w:cs="Arial" w:eastAsia="Arial" w:hAnsi="Arial"/>
                <w:sz w:val="14"/>
                <w:szCs w:val="14"/>
                <w:color w:val="auto"/>
              </w:rPr>
              <w:t>2016</w:t>
            </w:r>
          </w:p>
        </w:tc>
        <w:tc>
          <w:tcPr>
            <w:tcW w:w="152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108,924</w:t>
            </w:r>
          </w:p>
        </w:tc>
        <w:tc>
          <w:tcPr>
            <w:tcW w:w="138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104,603</w:t>
            </w:r>
          </w:p>
        </w:tc>
        <w:tc>
          <w:tcPr>
            <w:tcW w:w="128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16,825</w:t>
            </w:r>
          </w:p>
        </w:tc>
        <w:tc>
          <w:tcPr>
            <w:tcW w:w="136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878,391</w:t>
            </w:r>
          </w:p>
        </w:tc>
        <w:tc>
          <w:tcPr>
            <w:tcW w:w="1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1,108,743</w:t>
            </w:r>
          </w:p>
        </w:tc>
      </w:tr>
      <w:tr>
        <w:trPr>
          <w:trHeight w:val="160"/>
        </w:trPr>
        <w:tc>
          <w:tcPr>
            <w:tcW w:w="3780" w:type="dxa"/>
            <w:vAlign w:val="bottom"/>
          </w:tcPr>
          <w:p>
            <w:pPr>
              <w:ind w:left="60"/>
              <w:spacing w:after="0"/>
              <w:rPr>
                <w:sz w:val="20"/>
                <w:szCs w:val="20"/>
                <w:color w:val="auto"/>
              </w:rPr>
            </w:pPr>
            <w:r>
              <w:rPr>
                <w:rFonts w:ascii="Arial" w:cs="Arial" w:eastAsia="Arial" w:hAnsi="Arial"/>
                <w:sz w:val="14"/>
                <w:szCs w:val="14"/>
                <w:color w:val="auto"/>
              </w:rPr>
              <w:t>Mr. Smith</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2018</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12,843</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161,811</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174,654</w:t>
            </w:r>
          </w:p>
        </w:tc>
      </w:tr>
      <w:tr>
        <w:trPr>
          <w:trHeight w:val="157"/>
        </w:trPr>
        <w:tc>
          <w:tcPr>
            <w:tcW w:w="37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2017</w:t>
            </w:r>
          </w:p>
        </w:tc>
        <w:tc>
          <w:tcPr>
            <w:tcW w:w="15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13,853</w:t>
            </w:r>
          </w:p>
        </w:tc>
        <w:tc>
          <w:tcPr>
            <w:tcW w:w="12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74,878</w:t>
            </w:r>
          </w:p>
        </w:tc>
        <w:tc>
          <w:tcPr>
            <w:tcW w:w="13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88,731</w:t>
            </w:r>
          </w:p>
        </w:tc>
      </w:tr>
      <w:tr>
        <w:trPr>
          <w:trHeight w:val="156"/>
        </w:trPr>
        <w:tc>
          <w:tcPr>
            <w:tcW w:w="3780" w:type="dxa"/>
            <w:vAlign w:val="bottom"/>
            <w:shd w:val="clear" w:color="auto" w:fill="CCCCCC"/>
          </w:tcPr>
          <w:p>
            <w:pPr>
              <w:ind w:left="60"/>
              <w:spacing w:after="0" w:line="155" w:lineRule="exact"/>
              <w:rPr>
                <w:sz w:val="20"/>
                <w:szCs w:val="20"/>
                <w:color w:val="auto"/>
              </w:rPr>
            </w:pPr>
            <w:r>
              <w:rPr>
                <w:rFonts w:ascii="Arial" w:cs="Arial" w:eastAsia="Arial" w:hAnsi="Arial"/>
                <w:sz w:val="14"/>
                <w:szCs w:val="14"/>
                <w:color w:val="auto"/>
              </w:rPr>
              <w:t>Mr. Ferraro</w:t>
            </w:r>
          </w:p>
        </w:tc>
        <w:tc>
          <w:tcPr>
            <w:tcW w:w="860" w:type="dxa"/>
            <w:vAlign w:val="bottom"/>
            <w:shd w:val="clear" w:color="auto" w:fill="CCCCCC"/>
          </w:tcPr>
          <w:p>
            <w:pPr>
              <w:jc w:val="right"/>
              <w:ind w:right="88"/>
              <w:spacing w:after="0" w:line="155" w:lineRule="exact"/>
              <w:rPr>
                <w:sz w:val="20"/>
                <w:szCs w:val="20"/>
                <w:color w:val="auto"/>
              </w:rPr>
            </w:pPr>
            <w:r>
              <w:rPr>
                <w:rFonts w:ascii="Arial" w:cs="Arial" w:eastAsia="Arial" w:hAnsi="Arial"/>
                <w:sz w:val="14"/>
                <w:szCs w:val="14"/>
                <w:color w:val="auto"/>
              </w:rPr>
              <w:t>2018</w:t>
            </w:r>
          </w:p>
        </w:tc>
        <w:tc>
          <w:tcPr>
            <w:tcW w:w="1520" w:type="dxa"/>
            <w:vAlign w:val="bottom"/>
            <w:shd w:val="clear" w:color="auto" w:fill="CCCCCC"/>
          </w:tcPr>
          <w:p>
            <w:pPr>
              <w:jc w:val="right"/>
              <w:ind w:right="108"/>
              <w:spacing w:after="0" w:line="155" w:lineRule="exact"/>
              <w:rPr>
                <w:sz w:val="20"/>
                <w:szCs w:val="20"/>
                <w:color w:val="auto"/>
              </w:rPr>
            </w:pPr>
            <w:r>
              <w:rPr>
                <w:rFonts w:ascii="Arial" w:cs="Arial" w:eastAsia="Arial" w:hAnsi="Arial"/>
                <w:sz w:val="14"/>
                <w:szCs w:val="14"/>
                <w:color w:val="auto"/>
              </w:rPr>
              <w:t>11,500</w:t>
            </w:r>
          </w:p>
        </w:tc>
        <w:tc>
          <w:tcPr>
            <w:tcW w:w="1380" w:type="dxa"/>
            <w:vAlign w:val="bottom"/>
            <w:shd w:val="clear" w:color="auto" w:fill="CCCCCC"/>
          </w:tcPr>
          <w:p>
            <w:pPr>
              <w:jc w:val="right"/>
              <w:ind w:right="108"/>
              <w:spacing w:after="0" w:line="155" w:lineRule="exact"/>
              <w:rPr>
                <w:sz w:val="20"/>
                <w:szCs w:val="20"/>
                <w:color w:val="auto"/>
              </w:rPr>
            </w:pPr>
            <w:r>
              <w:rPr>
                <w:rFonts w:ascii="Arial" w:cs="Arial" w:eastAsia="Arial" w:hAnsi="Arial"/>
                <w:sz w:val="14"/>
                <w:szCs w:val="14"/>
                <w:color w:val="auto"/>
              </w:rPr>
              <w:t>40,658</w:t>
            </w:r>
          </w:p>
        </w:tc>
        <w:tc>
          <w:tcPr>
            <w:tcW w:w="1280" w:type="dxa"/>
            <w:vAlign w:val="bottom"/>
            <w:shd w:val="clear" w:color="auto" w:fill="CCCCCC"/>
          </w:tcPr>
          <w:p>
            <w:pPr>
              <w:jc w:val="right"/>
              <w:ind w:right="28"/>
              <w:spacing w:after="0" w:line="155" w:lineRule="exact"/>
              <w:rPr>
                <w:sz w:val="20"/>
                <w:szCs w:val="20"/>
                <w:color w:val="auto"/>
              </w:rPr>
            </w:pPr>
            <w:r>
              <w:rPr>
                <w:rFonts w:ascii="Arial" w:cs="Arial" w:eastAsia="Arial" w:hAnsi="Arial"/>
                <w:sz w:val="14"/>
                <w:szCs w:val="14"/>
                <w:color w:val="auto"/>
              </w:rPr>
              <w:t>737</w:t>
            </w:r>
          </w:p>
        </w:tc>
        <w:tc>
          <w:tcPr>
            <w:tcW w:w="1360" w:type="dxa"/>
            <w:vAlign w:val="bottom"/>
            <w:shd w:val="clear" w:color="auto" w:fill="CCCCC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right"/>
              <w:spacing w:after="0" w:line="155" w:lineRule="exact"/>
              <w:rPr>
                <w:sz w:val="20"/>
                <w:szCs w:val="20"/>
                <w:color w:val="auto"/>
              </w:rPr>
            </w:pPr>
            <w:r>
              <w:rPr>
                <w:rFonts w:ascii="Arial" w:cs="Arial" w:eastAsia="Arial" w:hAnsi="Arial"/>
                <w:sz w:val="14"/>
                <w:szCs w:val="14"/>
                <w:color w:val="auto"/>
              </w:rPr>
              <w:t>52,895</w:t>
            </w:r>
          </w:p>
        </w:tc>
      </w:tr>
      <w:tr>
        <w:trPr>
          <w:trHeight w:val="162"/>
        </w:trPr>
        <w:tc>
          <w:tcPr>
            <w:tcW w:w="3780" w:type="dxa"/>
            <w:vAlign w:val="bottom"/>
            <w:shd w:val="clear" w:color="auto" w:fill="CCCCCC"/>
          </w:tcPr>
          <w:p>
            <w:pPr>
              <w:spacing w:after="0"/>
              <w:rPr>
                <w:sz w:val="14"/>
                <w:szCs w:val="14"/>
                <w:color w:val="auto"/>
              </w:rPr>
            </w:pPr>
          </w:p>
        </w:tc>
        <w:tc>
          <w:tcPr>
            <w:tcW w:w="86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2017</w:t>
            </w:r>
          </w:p>
        </w:tc>
        <w:tc>
          <w:tcPr>
            <w:tcW w:w="152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37,831</w:t>
            </w:r>
          </w:p>
        </w:tc>
        <w:tc>
          <w:tcPr>
            <w:tcW w:w="128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709</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38,540</w:t>
            </w:r>
          </w:p>
        </w:tc>
      </w:tr>
      <w:tr>
        <w:trPr>
          <w:trHeight w:val="162"/>
        </w:trPr>
        <w:tc>
          <w:tcPr>
            <w:tcW w:w="3780" w:type="dxa"/>
            <w:vAlign w:val="bottom"/>
            <w:tcBorders>
              <w:bottom w:val="single" w:sz="8" w:color="auto"/>
            </w:tcBorders>
            <w:shd w:val="clear" w:color="auto" w:fill="CCCCCC"/>
          </w:tcPr>
          <w:p>
            <w:pPr>
              <w:spacing w:after="0"/>
              <w:rPr>
                <w:sz w:val="14"/>
                <w:szCs w:val="14"/>
                <w:color w:val="auto"/>
              </w:rPr>
            </w:pPr>
          </w:p>
        </w:tc>
        <w:tc>
          <w:tcPr>
            <w:tcW w:w="860" w:type="dxa"/>
            <w:vAlign w:val="bottom"/>
            <w:tcBorders>
              <w:bottom w:val="single" w:sz="8" w:color="auto"/>
            </w:tcBorders>
            <w:shd w:val="clear" w:color="auto" w:fill="CCCCCC"/>
          </w:tcPr>
          <w:p>
            <w:pPr>
              <w:jc w:val="right"/>
              <w:ind w:right="88"/>
              <w:spacing w:after="0"/>
              <w:rPr>
                <w:sz w:val="20"/>
                <w:szCs w:val="20"/>
                <w:color w:val="auto"/>
              </w:rPr>
            </w:pPr>
            <w:r>
              <w:rPr>
                <w:rFonts w:ascii="Arial" w:cs="Arial" w:eastAsia="Arial" w:hAnsi="Arial"/>
                <w:sz w:val="14"/>
                <w:szCs w:val="14"/>
                <w:color w:val="auto"/>
              </w:rPr>
              <w:t>2016</w:t>
            </w:r>
          </w:p>
        </w:tc>
        <w:tc>
          <w:tcPr>
            <w:tcW w:w="152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33,374</w:t>
            </w:r>
          </w:p>
        </w:tc>
        <w:tc>
          <w:tcPr>
            <w:tcW w:w="128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703</w:t>
            </w:r>
          </w:p>
        </w:tc>
        <w:tc>
          <w:tcPr>
            <w:tcW w:w="136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34,077</w:t>
            </w:r>
          </w:p>
        </w:tc>
      </w:tr>
      <w:tr>
        <w:trPr>
          <w:trHeight w:val="160"/>
        </w:trPr>
        <w:tc>
          <w:tcPr>
            <w:tcW w:w="3780" w:type="dxa"/>
            <w:vAlign w:val="bottom"/>
          </w:tcPr>
          <w:p>
            <w:pPr>
              <w:ind w:left="60"/>
              <w:spacing w:after="0"/>
              <w:rPr>
                <w:sz w:val="20"/>
                <w:szCs w:val="20"/>
                <w:color w:val="auto"/>
              </w:rPr>
            </w:pPr>
            <w:r>
              <w:rPr>
                <w:rFonts w:ascii="Arial" w:cs="Arial" w:eastAsia="Arial" w:hAnsi="Arial"/>
                <w:sz w:val="14"/>
                <w:szCs w:val="14"/>
                <w:color w:val="auto"/>
              </w:rPr>
              <w:t>Mr. Servodidio</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2018</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55,677</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24,203</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267,657</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1,503,797</w:t>
            </w:r>
          </w:p>
        </w:tc>
        <w:tc>
          <w:tcPr>
            <w:tcW w:w="1240" w:type="dxa"/>
            <w:vAlign w:val="bottom"/>
          </w:tcPr>
          <w:p>
            <w:pPr>
              <w:jc w:val="right"/>
              <w:spacing w:after="0"/>
              <w:rPr>
                <w:sz w:val="20"/>
                <w:szCs w:val="20"/>
                <w:color w:val="auto"/>
              </w:rPr>
            </w:pPr>
            <w:r>
              <w:rPr>
                <w:rFonts w:ascii="Arial" w:cs="Arial" w:eastAsia="Arial" w:hAnsi="Arial"/>
                <w:sz w:val="14"/>
                <w:szCs w:val="14"/>
                <w:color w:val="auto"/>
              </w:rPr>
              <w:t>1,851,334</w:t>
            </w:r>
          </w:p>
        </w:tc>
      </w:tr>
      <w:tr>
        <w:trPr>
          <w:trHeight w:val="162"/>
        </w:trPr>
        <w:tc>
          <w:tcPr>
            <w:tcW w:w="37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2017</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60,246</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27,640</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273,772</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659,099</w:t>
            </w:r>
          </w:p>
        </w:tc>
        <w:tc>
          <w:tcPr>
            <w:tcW w:w="1240" w:type="dxa"/>
            <w:vAlign w:val="bottom"/>
          </w:tcPr>
          <w:p>
            <w:pPr>
              <w:jc w:val="right"/>
              <w:spacing w:after="0"/>
              <w:rPr>
                <w:sz w:val="20"/>
                <w:szCs w:val="20"/>
                <w:color w:val="auto"/>
              </w:rPr>
            </w:pPr>
            <w:r>
              <w:rPr>
                <w:rFonts w:ascii="Arial" w:cs="Arial" w:eastAsia="Arial" w:hAnsi="Arial"/>
                <w:sz w:val="14"/>
                <w:szCs w:val="14"/>
                <w:color w:val="auto"/>
              </w:rPr>
              <w:t>1,020,757</w:t>
            </w:r>
          </w:p>
        </w:tc>
      </w:tr>
      <w:tr>
        <w:trPr>
          <w:trHeight w:val="157"/>
        </w:trPr>
        <w:tc>
          <w:tcPr>
            <w:tcW w:w="37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2016</w:t>
            </w:r>
          </w:p>
        </w:tc>
        <w:tc>
          <w:tcPr>
            <w:tcW w:w="15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52,407</w:t>
            </w:r>
          </w:p>
        </w:tc>
        <w:tc>
          <w:tcPr>
            <w:tcW w:w="13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33,518</w:t>
            </w:r>
          </w:p>
        </w:tc>
        <w:tc>
          <w:tcPr>
            <w:tcW w:w="12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263,002</w:t>
            </w:r>
          </w:p>
        </w:tc>
        <w:tc>
          <w:tcPr>
            <w:tcW w:w="13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1,759,397</w:t>
            </w:r>
          </w:p>
        </w:tc>
        <w:tc>
          <w:tcPr>
            <w:tcW w:w="12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2,108,324</w:t>
            </w:r>
          </w:p>
        </w:tc>
      </w:tr>
      <w:tr>
        <w:trPr>
          <w:trHeight w:val="163"/>
        </w:trPr>
        <w:tc>
          <w:tcPr>
            <w:tcW w:w="378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Mr. Tucker</w:t>
            </w:r>
          </w:p>
        </w:tc>
        <w:tc>
          <w:tcPr>
            <w:tcW w:w="860" w:type="dxa"/>
            <w:vAlign w:val="bottom"/>
            <w:tcBorders>
              <w:bottom w:val="single" w:sz="8" w:color="auto"/>
            </w:tcBorders>
            <w:shd w:val="clear" w:color="auto" w:fill="CCCCCC"/>
          </w:tcPr>
          <w:p>
            <w:pPr>
              <w:jc w:val="right"/>
              <w:ind w:right="88"/>
              <w:spacing w:after="0" w:line="155" w:lineRule="exact"/>
              <w:rPr>
                <w:sz w:val="20"/>
                <w:szCs w:val="20"/>
                <w:color w:val="auto"/>
              </w:rPr>
            </w:pPr>
            <w:r>
              <w:rPr>
                <w:rFonts w:ascii="Arial" w:cs="Arial" w:eastAsia="Arial" w:hAnsi="Arial"/>
                <w:sz w:val="14"/>
                <w:szCs w:val="14"/>
                <w:color w:val="auto"/>
              </w:rPr>
              <w:t>2018</w:t>
            </w:r>
          </w:p>
        </w:tc>
        <w:tc>
          <w:tcPr>
            <w:tcW w:w="1520" w:type="dxa"/>
            <w:vAlign w:val="bottom"/>
            <w:tcBorders>
              <w:bottom w:val="single" w:sz="8" w:color="auto"/>
            </w:tcBorders>
            <w:shd w:val="clear" w:color="auto" w:fill="CCCCCC"/>
          </w:tcPr>
          <w:p>
            <w:pPr>
              <w:jc w:val="right"/>
              <w:ind w:right="108"/>
              <w:spacing w:after="0" w:line="155" w:lineRule="exact"/>
              <w:rPr>
                <w:sz w:val="20"/>
                <w:szCs w:val="20"/>
                <w:color w:val="auto"/>
              </w:rPr>
            </w:pPr>
            <w:r>
              <w:rPr>
                <w:rFonts w:ascii="Arial" w:cs="Arial" w:eastAsia="Arial" w:hAnsi="Arial"/>
                <w:sz w:val="14"/>
                <w:szCs w:val="14"/>
                <w:color w:val="auto"/>
              </w:rPr>
              <w:t>16,000</w:t>
            </w:r>
          </w:p>
        </w:tc>
        <w:tc>
          <w:tcPr>
            <w:tcW w:w="1380" w:type="dxa"/>
            <w:vAlign w:val="bottom"/>
            <w:tcBorders>
              <w:bottom w:val="single" w:sz="8" w:color="auto"/>
            </w:tcBorders>
            <w:shd w:val="clear" w:color="auto" w:fill="CCCCCC"/>
          </w:tcPr>
          <w:p>
            <w:pPr>
              <w:jc w:val="right"/>
              <w:ind w:right="108"/>
              <w:spacing w:after="0" w:line="155" w:lineRule="exact"/>
              <w:rPr>
                <w:sz w:val="20"/>
                <w:szCs w:val="20"/>
                <w:color w:val="auto"/>
              </w:rPr>
            </w:pPr>
            <w:r>
              <w:rPr>
                <w:rFonts w:ascii="Arial" w:cs="Arial" w:eastAsia="Arial" w:hAnsi="Arial"/>
                <w:sz w:val="14"/>
                <w:szCs w:val="14"/>
                <w:color w:val="auto"/>
              </w:rPr>
              <w:t>17,151</w:t>
            </w:r>
          </w:p>
        </w:tc>
        <w:tc>
          <w:tcPr>
            <w:tcW w:w="1280" w:type="dxa"/>
            <w:vAlign w:val="bottom"/>
            <w:tcBorders>
              <w:bottom w:val="single" w:sz="8" w:color="auto"/>
            </w:tcBorders>
            <w:shd w:val="clear" w:color="auto" w:fill="CCCCCC"/>
          </w:tcPr>
          <w:p>
            <w:pPr>
              <w:jc w:val="right"/>
              <w:ind w:right="28"/>
              <w:spacing w:after="0" w:line="155" w:lineRule="exact"/>
              <w:rPr>
                <w:sz w:val="20"/>
                <w:szCs w:val="20"/>
                <w:color w:val="auto"/>
              </w:rPr>
            </w:pPr>
            <w:r>
              <w:rPr>
                <w:rFonts w:ascii="Arial" w:cs="Arial" w:eastAsia="Arial" w:hAnsi="Arial"/>
                <w:sz w:val="14"/>
                <w:szCs w:val="14"/>
                <w:color w:val="auto"/>
              </w:rPr>
              <w:t>567</w:t>
            </w:r>
          </w:p>
        </w:tc>
        <w:tc>
          <w:tcPr>
            <w:tcW w:w="1360" w:type="dxa"/>
            <w:vAlign w:val="bottom"/>
            <w:tcBorders>
              <w:bottom w:val="single" w:sz="8" w:color="auto"/>
            </w:tcBorders>
            <w:shd w:val="clear" w:color="auto" w:fill="CCCCC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33,718</w:t>
            </w:r>
          </w:p>
        </w:tc>
      </w:tr>
    </w:tbl>
    <w:p>
      <w:pPr>
        <w:spacing w:after="0" w:line="167" w:lineRule="exact"/>
        <w:rPr>
          <w:sz w:val="20"/>
          <w:szCs w:val="20"/>
          <w:color w:val="auto"/>
        </w:rPr>
      </w:pPr>
    </w:p>
    <w:p>
      <w:pPr>
        <w:jc w:val="both"/>
        <w:ind w:left="340" w:hanging="332"/>
        <w:spacing w:after="0" w:line="25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Messrs. De Shon and Servodidio, represents Company matching contributions under the Company’s Deferred Compensation Plan for the benefit of certain of our executive officers. For Messrs. Ferraro and Tucker, represents Company matching contributions under the Company’s Deferred Compensation and 401(k) Plans. Under the terms of these Plans, participants may receive Company matching contributions up to a maximum cap of 6%.</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perquisites presented in the table below.</w:t>
      </w:r>
    </w:p>
    <w:p>
      <w:pPr>
        <w:spacing w:after="0" w:line="163"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value of insurance premiums paid by the Company for a broad-based life insurance benefit. For Messrs. De Shon and Servodidio amounts also include expatriate and relocation benefits in connection with long-term assignments to the United Kingdom as set forth below. For Mr. Smith, amounts include benefits in connection with his temporary relocation to the United States as set forth below:</w:t>
      </w:r>
    </w:p>
    <w:p>
      <w:pPr>
        <w:spacing w:after="0" w:line="127"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Mr. De Shon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05740" cy="1663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5740" cy="16637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340" w:type="dxa"/>
            <w:vAlign w:val="bottom"/>
            <w:tcBorders>
              <w:top w:val="single" w:sz="8" w:color="CCCCCC"/>
            </w:tcBorders>
            <w:shd w:val="clear" w:color="auto" w:fill="CCCCCC"/>
          </w:tcPr>
          <w:p>
            <w:pPr>
              <w:spacing w:after="0"/>
              <w:rPr>
                <w:sz w:val="14"/>
                <w:szCs w:val="14"/>
                <w:color w:val="auto"/>
              </w:rPr>
            </w:pPr>
          </w:p>
        </w:tc>
        <w:tc>
          <w:tcPr>
            <w:tcW w:w="1560" w:type="dxa"/>
            <w:vAlign w:val="bottom"/>
            <w:tcBorders>
              <w:top w:val="single" w:sz="8" w:color="auto"/>
              <w:bottom w:val="single" w:sz="8" w:color="auto"/>
            </w:tcBorders>
            <w:shd w:val="clear" w:color="auto" w:fill="CCCCCC"/>
          </w:tcPr>
          <w:p>
            <w:pPr>
              <w:ind w:left="700"/>
              <w:spacing w:after="0"/>
              <w:rPr>
                <w:sz w:val="20"/>
                <w:szCs w:val="20"/>
                <w:color w:val="auto"/>
              </w:rPr>
            </w:pPr>
            <w:r>
              <w:rPr>
                <w:rFonts w:ascii="Arial" w:cs="Arial" w:eastAsia="Arial" w:hAnsi="Arial"/>
                <w:sz w:val="14"/>
                <w:szCs w:val="14"/>
                <w:b w:val="1"/>
                <w:bCs w:val="1"/>
                <w:color w:val="auto"/>
              </w:rPr>
              <w:t>Year</w:t>
            </w:r>
          </w:p>
        </w:tc>
        <w:tc>
          <w:tcPr>
            <w:tcW w:w="2740" w:type="dxa"/>
            <w:vAlign w:val="bottom"/>
            <w:tcBorders>
              <w:top w:val="single" w:sz="8" w:color="auto"/>
              <w:bottom w:val="single" w:sz="8" w:color="auto"/>
            </w:tcBorders>
            <w:shd w:val="clear" w:color="auto" w:fill="CCCCCC"/>
          </w:tcPr>
          <w:p>
            <w:pPr>
              <w:jc w:val="center"/>
              <w:spacing w:after="0"/>
              <w:rPr>
                <w:sz w:val="20"/>
                <w:szCs w:val="20"/>
                <w:color w:val="auto"/>
              </w:rPr>
            </w:pPr>
            <w:r>
              <w:rPr>
                <w:rFonts w:ascii="Arial" w:cs="Arial" w:eastAsia="Arial" w:hAnsi="Arial"/>
                <w:sz w:val="14"/>
                <w:szCs w:val="14"/>
                <w:b w:val="1"/>
                <w:bCs w:val="1"/>
                <w:color w:val="auto"/>
              </w:rPr>
              <w:t>Housing Allowance</w:t>
            </w:r>
          </w:p>
        </w:tc>
        <w:tc>
          <w:tcPr>
            <w:tcW w:w="2540" w:type="dxa"/>
            <w:vAlign w:val="bottom"/>
            <w:tcBorders>
              <w:top w:val="single" w:sz="8" w:color="auto"/>
              <w:bottom w:val="single" w:sz="8" w:color="auto"/>
            </w:tcBorders>
            <w:shd w:val="clear" w:color="auto" w:fill="CCCCCC"/>
          </w:tcPr>
          <w:p>
            <w:pPr>
              <w:jc w:val="center"/>
              <w:ind w:right="8"/>
              <w:spacing w:after="0"/>
              <w:rPr>
                <w:sz w:val="20"/>
                <w:szCs w:val="20"/>
                <w:color w:val="auto"/>
              </w:rPr>
            </w:pPr>
            <w:r>
              <w:rPr>
                <w:rFonts w:ascii="Arial" w:cs="Arial" w:eastAsia="Arial" w:hAnsi="Arial"/>
                <w:sz w:val="14"/>
                <w:szCs w:val="14"/>
                <w:b w:val="1"/>
                <w:bCs w:val="1"/>
                <w:color w:val="auto"/>
              </w:rPr>
              <w:t>Relocation Benefits</w:t>
            </w:r>
          </w:p>
        </w:tc>
        <w:tc>
          <w:tcPr>
            <w:tcW w:w="2800" w:type="dxa"/>
            <w:vAlign w:val="bottom"/>
            <w:tcBorders>
              <w:top w:val="single" w:sz="8" w:color="auto"/>
              <w:bottom w:val="single" w:sz="8" w:color="auto"/>
            </w:tcBorders>
            <w:shd w:val="clear" w:color="auto" w:fill="CCCCCC"/>
          </w:tcPr>
          <w:p>
            <w:pPr>
              <w:ind w:left="620"/>
              <w:spacing w:after="0"/>
              <w:rPr>
                <w:sz w:val="20"/>
                <w:szCs w:val="20"/>
                <w:color w:val="auto"/>
              </w:rPr>
            </w:pPr>
            <w:r>
              <w:rPr>
                <w:rFonts w:ascii="Arial" w:cs="Arial" w:eastAsia="Arial" w:hAnsi="Arial"/>
                <w:sz w:val="14"/>
                <w:szCs w:val="14"/>
                <w:b w:val="1"/>
                <w:bCs w:val="1"/>
                <w:color w:val="auto"/>
              </w:rPr>
              <w:t>Other Allowances**</w:t>
            </w:r>
          </w:p>
        </w:tc>
        <w:tc>
          <w:tcPr>
            <w:tcW w:w="144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Total</w:t>
            </w:r>
          </w:p>
        </w:tc>
      </w:tr>
      <w:tr>
        <w:trPr>
          <w:trHeight w:val="156"/>
        </w:trPr>
        <w:tc>
          <w:tcPr>
            <w:tcW w:w="190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2016</w:t>
            </w:r>
          </w:p>
        </w:tc>
        <w:tc>
          <w:tcPr>
            <w:tcW w:w="2740" w:type="dxa"/>
            <w:vAlign w:val="bottom"/>
          </w:tcPr>
          <w:p>
            <w:pPr>
              <w:jc w:val="center"/>
              <w:spacing w:after="0" w:line="155" w:lineRule="exact"/>
              <w:rPr>
                <w:sz w:val="20"/>
                <w:szCs w:val="20"/>
                <w:color w:val="auto"/>
              </w:rPr>
            </w:pPr>
            <w:r>
              <w:rPr>
                <w:rFonts w:ascii="Arial" w:cs="Arial" w:eastAsia="Arial" w:hAnsi="Arial"/>
                <w:sz w:val="14"/>
                <w:szCs w:val="14"/>
                <w:color w:val="auto"/>
                <w:w w:val="99"/>
              </w:rPr>
              <w:t>—</w:t>
            </w:r>
          </w:p>
        </w:tc>
        <w:tc>
          <w:tcPr>
            <w:tcW w:w="2540" w:type="dxa"/>
            <w:vAlign w:val="bottom"/>
          </w:tcPr>
          <w:p>
            <w:pPr>
              <w:jc w:val="center"/>
              <w:ind w:right="8"/>
              <w:spacing w:after="0" w:line="155" w:lineRule="exact"/>
              <w:rPr>
                <w:sz w:val="20"/>
                <w:szCs w:val="20"/>
                <w:color w:val="auto"/>
              </w:rPr>
            </w:pPr>
            <w:r>
              <w:rPr>
                <w:rFonts w:ascii="Arial" w:cs="Arial" w:eastAsia="Arial" w:hAnsi="Arial"/>
                <w:sz w:val="14"/>
                <w:szCs w:val="14"/>
                <w:color w:val="auto"/>
                <w:w w:val="99"/>
              </w:rPr>
              <w:t>—</w:t>
            </w:r>
          </w:p>
        </w:tc>
        <w:tc>
          <w:tcPr>
            <w:tcW w:w="2800" w:type="dxa"/>
            <w:vAlign w:val="bottom"/>
          </w:tcPr>
          <w:p>
            <w:pPr>
              <w:jc w:val="center"/>
              <w:ind w:right="168"/>
              <w:spacing w:after="0" w:line="155" w:lineRule="exact"/>
              <w:rPr>
                <w:sz w:val="20"/>
                <w:szCs w:val="20"/>
                <w:color w:val="auto"/>
              </w:rPr>
            </w:pPr>
            <w:r>
              <w:rPr>
                <w:rFonts w:ascii="Arial" w:cs="Arial" w:eastAsia="Arial" w:hAnsi="Arial"/>
                <w:sz w:val="14"/>
                <w:szCs w:val="14"/>
                <w:color w:val="auto"/>
              </w:rPr>
              <w:t>16,069</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16,069</w:t>
            </w:r>
          </w:p>
        </w:tc>
      </w:tr>
      <w:tr>
        <w:trPr>
          <w:trHeight w:val="325"/>
        </w:trPr>
        <w:tc>
          <w:tcPr>
            <w:tcW w:w="340" w:type="dxa"/>
            <w:vAlign w:val="bottom"/>
            <w:tcBorders>
              <w:bottom w:val="single" w:sz="8" w:color="CCCCCC"/>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Mr. Smith ($)*</w:t>
            </w:r>
          </w:p>
        </w:tc>
        <w:tc>
          <w:tcPr>
            <w:tcW w:w="28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r>
      <w:tr>
        <w:trPr>
          <w:trHeight w:val="149"/>
        </w:trPr>
        <w:tc>
          <w:tcPr>
            <w:tcW w:w="340" w:type="dxa"/>
            <w:vAlign w:val="bottom"/>
            <w:shd w:val="clear" w:color="auto" w:fill="CCCCCC"/>
          </w:tcPr>
          <w:p>
            <w:pPr>
              <w:spacing w:after="0"/>
              <w:rPr>
                <w:sz w:val="12"/>
                <w:szCs w:val="12"/>
                <w:color w:val="auto"/>
              </w:rPr>
            </w:pPr>
          </w:p>
        </w:tc>
        <w:tc>
          <w:tcPr>
            <w:tcW w:w="1560" w:type="dxa"/>
            <w:vAlign w:val="bottom"/>
            <w:shd w:val="clear" w:color="auto" w:fill="CCCCCC"/>
          </w:tcPr>
          <w:p>
            <w:pPr>
              <w:spacing w:after="0"/>
              <w:rPr>
                <w:sz w:val="12"/>
                <w:szCs w:val="12"/>
                <w:color w:val="auto"/>
              </w:rPr>
            </w:pPr>
          </w:p>
        </w:tc>
        <w:tc>
          <w:tcPr>
            <w:tcW w:w="2740" w:type="dxa"/>
            <w:vAlign w:val="bottom"/>
            <w:shd w:val="clear" w:color="auto" w:fill="CCCCCC"/>
          </w:tcPr>
          <w:p>
            <w:pPr>
              <w:spacing w:after="0"/>
              <w:rPr>
                <w:sz w:val="12"/>
                <w:szCs w:val="12"/>
                <w:color w:val="auto"/>
              </w:rPr>
            </w:pPr>
          </w:p>
        </w:tc>
        <w:tc>
          <w:tcPr>
            <w:tcW w:w="2540" w:type="dxa"/>
            <w:vAlign w:val="bottom"/>
            <w:shd w:val="clear" w:color="auto" w:fill="CCCCCC"/>
          </w:tcPr>
          <w:p>
            <w:pPr>
              <w:jc w:val="center"/>
              <w:ind w:right="8"/>
              <w:spacing w:after="0" w:line="149" w:lineRule="exact"/>
              <w:rPr>
                <w:sz w:val="20"/>
                <w:szCs w:val="20"/>
                <w:color w:val="auto"/>
              </w:rPr>
            </w:pPr>
            <w:r>
              <w:rPr>
                <w:rFonts w:ascii="Arial" w:cs="Arial" w:eastAsia="Arial" w:hAnsi="Arial"/>
                <w:sz w:val="14"/>
                <w:szCs w:val="14"/>
                <w:b w:val="1"/>
                <w:bCs w:val="1"/>
                <w:color w:val="auto"/>
              </w:rPr>
              <w:t>Relocation</w:t>
            </w:r>
          </w:p>
        </w:tc>
        <w:tc>
          <w:tcPr>
            <w:tcW w:w="2800" w:type="dxa"/>
            <w:vAlign w:val="bottom"/>
            <w:shd w:val="clear" w:color="auto" w:fill="CCCCCC"/>
          </w:tcPr>
          <w:p>
            <w:pPr>
              <w:spacing w:after="0"/>
              <w:rPr>
                <w:sz w:val="12"/>
                <w:szCs w:val="12"/>
                <w:color w:val="auto"/>
              </w:rPr>
            </w:pPr>
          </w:p>
        </w:tc>
        <w:tc>
          <w:tcPr>
            <w:tcW w:w="1440" w:type="dxa"/>
            <w:vAlign w:val="bottom"/>
            <w:shd w:val="clear" w:color="auto" w:fill="CCCCCC"/>
          </w:tcPr>
          <w:p>
            <w:pPr>
              <w:spacing w:after="0"/>
              <w:rPr>
                <w:sz w:val="12"/>
                <w:szCs w:val="12"/>
                <w:color w:val="auto"/>
              </w:rPr>
            </w:pPr>
          </w:p>
        </w:tc>
      </w:tr>
      <w:tr>
        <w:trPr>
          <w:trHeight w:val="175"/>
        </w:trPr>
        <w:tc>
          <w:tcPr>
            <w:tcW w:w="340" w:type="dxa"/>
            <w:vAlign w:val="bottom"/>
            <w:shd w:val="clear" w:color="auto" w:fill="CCCCCC"/>
          </w:tcPr>
          <w:p>
            <w:pPr>
              <w:spacing w:after="0"/>
              <w:rPr>
                <w:sz w:val="15"/>
                <w:szCs w:val="15"/>
                <w:color w:val="auto"/>
              </w:rPr>
            </w:pPr>
          </w:p>
        </w:tc>
        <w:tc>
          <w:tcPr>
            <w:tcW w:w="1560" w:type="dxa"/>
            <w:vAlign w:val="bottom"/>
            <w:tcBorders>
              <w:bottom w:val="single" w:sz="8" w:color="auto"/>
            </w:tcBorders>
            <w:shd w:val="clear" w:color="auto" w:fill="CCCCCC"/>
          </w:tcPr>
          <w:p>
            <w:pPr>
              <w:ind w:left="700"/>
              <w:spacing w:after="0"/>
              <w:rPr>
                <w:sz w:val="20"/>
                <w:szCs w:val="20"/>
                <w:color w:val="auto"/>
              </w:rPr>
            </w:pPr>
            <w:r>
              <w:rPr>
                <w:rFonts w:ascii="Arial" w:cs="Arial" w:eastAsia="Arial" w:hAnsi="Arial"/>
                <w:sz w:val="14"/>
                <w:szCs w:val="14"/>
                <w:b w:val="1"/>
                <w:bCs w:val="1"/>
                <w:color w:val="auto"/>
              </w:rPr>
              <w:t>Year</w:t>
            </w:r>
          </w:p>
        </w:tc>
        <w:tc>
          <w:tcPr>
            <w:tcW w:w="2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b w:val="1"/>
                <w:bCs w:val="1"/>
                <w:color w:val="auto"/>
              </w:rPr>
              <w:t>Company Paid Housing</w:t>
            </w:r>
          </w:p>
        </w:tc>
        <w:tc>
          <w:tcPr>
            <w:tcW w:w="2540" w:type="dxa"/>
            <w:vAlign w:val="bottom"/>
            <w:tcBorders>
              <w:bottom w:val="single" w:sz="8" w:color="auto"/>
            </w:tcBorders>
            <w:shd w:val="clear" w:color="auto" w:fill="CCCCCC"/>
          </w:tcPr>
          <w:p>
            <w:pPr>
              <w:jc w:val="center"/>
              <w:ind w:right="8"/>
              <w:spacing w:after="0"/>
              <w:rPr>
                <w:sz w:val="20"/>
                <w:szCs w:val="20"/>
                <w:color w:val="auto"/>
              </w:rPr>
            </w:pPr>
            <w:r>
              <w:rPr>
                <w:rFonts w:ascii="Arial" w:cs="Arial" w:eastAsia="Arial" w:hAnsi="Arial"/>
                <w:sz w:val="14"/>
                <w:szCs w:val="14"/>
                <w:b w:val="1"/>
                <w:bCs w:val="1"/>
                <w:color w:val="auto"/>
              </w:rPr>
              <w:t>Benefits***</w:t>
            </w:r>
          </w:p>
        </w:tc>
        <w:tc>
          <w:tcPr>
            <w:tcW w:w="2800" w:type="dxa"/>
            <w:vAlign w:val="bottom"/>
            <w:tcBorders>
              <w:bottom w:val="single" w:sz="8" w:color="auto"/>
            </w:tcBorders>
            <w:shd w:val="clear" w:color="auto" w:fill="CCCCCC"/>
          </w:tcPr>
          <w:p>
            <w:pPr>
              <w:ind w:left="620"/>
              <w:spacing w:after="0"/>
              <w:rPr>
                <w:sz w:val="20"/>
                <w:szCs w:val="20"/>
                <w:color w:val="auto"/>
              </w:rPr>
            </w:pPr>
            <w:r>
              <w:rPr>
                <w:rFonts w:ascii="Arial" w:cs="Arial" w:eastAsia="Arial" w:hAnsi="Arial"/>
                <w:sz w:val="14"/>
                <w:szCs w:val="14"/>
                <w:b w:val="1"/>
                <w:bCs w:val="1"/>
                <w:color w:val="auto"/>
              </w:rPr>
              <w:t>Other Allowances**</w:t>
            </w:r>
          </w:p>
        </w:tc>
        <w:tc>
          <w:tcPr>
            <w:tcW w:w="1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Total</w:t>
            </w:r>
          </w:p>
        </w:tc>
      </w:tr>
      <w:tr>
        <w:trPr>
          <w:trHeight w:val="156"/>
        </w:trPr>
        <w:tc>
          <w:tcPr>
            <w:tcW w:w="340" w:type="dxa"/>
            <w:vAlign w:val="bottom"/>
            <w:tcBorders>
              <w:bottom w:val="single" w:sz="8" w:color="CCCCCC"/>
            </w:tcBorders>
          </w:tcPr>
          <w:p>
            <w:pPr>
              <w:spacing w:after="0"/>
              <w:rPr>
                <w:sz w:val="13"/>
                <w:szCs w:val="13"/>
                <w:color w:val="auto"/>
              </w:rPr>
            </w:pPr>
          </w:p>
        </w:tc>
        <w:tc>
          <w:tcPr>
            <w:tcW w:w="1560" w:type="dxa"/>
            <w:vAlign w:val="bottom"/>
            <w:tcBorders>
              <w:bottom w:val="single" w:sz="8" w:color="auto"/>
            </w:tcBorders>
          </w:tcPr>
          <w:p>
            <w:pPr>
              <w:ind w:left="680"/>
              <w:spacing w:after="0" w:line="155" w:lineRule="exact"/>
              <w:rPr>
                <w:sz w:val="20"/>
                <w:szCs w:val="20"/>
                <w:color w:val="auto"/>
              </w:rPr>
            </w:pPr>
            <w:r>
              <w:rPr>
                <w:rFonts w:ascii="Arial" w:cs="Arial" w:eastAsia="Arial" w:hAnsi="Arial"/>
                <w:sz w:val="14"/>
                <w:szCs w:val="14"/>
                <w:color w:val="auto"/>
              </w:rPr>
              <w:t>2018</w:t>
            </w:r>
          </w:p>
        </w:tc>
        <w:tc>
          <w:tcPr>
            <w:tcW w:w="2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68,020</w:t>
            </w:r>
          </w:p>
        </w:tc>
        <w:tc>
          <w:tcPr>
            <w:tcW w:w="254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color w:val="auto"/>
                <w:w w:val="99"/>
              </w:rPr>
              <w:t>—</w:t>
            </w:r>
          </w:p>
        </w:tc>
        <w:tc>
          <w:tcPr>
            <w:tcW w:w="2800" w:type="dxa"/>
            <w:vAlign w:val="bottom"/>
            <w:tcBorders>
              <w:bottom w:val="single" w:sz="8" w:color="auto"/>
            </w:tcBorders>
          </w:tcPr>
          <w:p>
            <w:pPr>
              <w:jc w:val="center"/>
              <w:ind w:right="168"/>
              <w:spacing w:after="0" w:line="155" w:lineRule="exact"/>
              <w:rPr>
                <w:sz w:val="20"/>
                <w:szCs w:val="20"/>
                <w:color w:val="auto"/>
              </w:rPr>
            </w:pPr>
            <w:r>
              <w:rPr>
                <w:rFonts w:ascii="Arial" w:cs="Arial" w:eastAsia="Arial" w:hAnsi="Arial"/>
                <w:sz w:val="14"/>
                <w:szCs w:val="14"/>
                <w:color w:val="auto"/>
              </w:rPr>
              <w:t>93,139</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161,159</w:t>
            </w:r>
          </w:p>
        </w:tc>
      </w:tr>
      <w:tr>
        <w:trPr>
          <w:trHeight w:val="156"/>
        </w:trPr>
        <w:tc>
          <w:tcPr>
            <w:tcW w:w="1900" w:type="dxa"/>
            <w:vAlign w:val="bottom"/>
            <w:gridSpan w:val="2"/>
            <w:shd w:val="clear" w:color="auto" w:fill="CCCCCC"/>
          </w:tcPr>
          <w:p>
            <w:pPr>
              <w:ind w:left="1020"/>
              <w:spacing w:after="0" w:line="155" w:lineRule="exact"/>
              <w:rPr>
                <w:sz w:val="20"/>
                <w:szCs w:val="20"/>
                <w:color w:val="auto"/>
              </w:rPr>
            </w:pPr>
            <w:r>
              <w:rPr>
                <w:rFonts w:ascii="Arial" w:cs="Arial" w:eastAsia="Arial" w:hAnsi="Arial"/>
                <w:sz w:val="14"/>
                <w:szCs w:val="14"/>
                <w:color w:val="auto"/>
              </w:rPr>
              <w:t>2017</w:t>
            </w:r>
          </w:p>
        </w:tc>
        <w:tc>
          <w:tcPr>
            <w:tcW w:w="274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rPr>
              <w:t>37,212</w:t>
            </w:r>
          </w:p>
        </w:tc>
        <w:tc>
          <w:tcPr>
            <w:tcW w:w="254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rPr>
              <w:t>3,225</w:t>
            </w:r>
          </w:p>
        </w:tc>
        <w:tc>
          <w:tcPr>
            <w:tcW w:w="2800" w:type="dxa"/>
            <w:vAlign w:val="bottom"/>
            <w:shd w:val="clear" w:color="auto" w:fill="CCCCCC"/>
          </w:tcPr>
          <w:p>
            <w:pPr>
              <w:jc w:val="center"/>
              <w:ind w:right="168"/>
              <w:spacing w:after="0" w:line="155" w:lineRule="exact"/>
              <w:rPr>
                <w:sz w:val="20"/>
                <w:szCs w:val="20"/>
                <w:color w:val="auto"/>
              </w:rPr>
            </w:pPr>
            <w:r>
              <w:rPr>
                <w:rFonts w:ascii="Arial" w:cs="Arial" w:eastAsia="Arial" w:hAnsi="Arial"/>
                <w:sz w:val="14"/>
                <w:szCs w:val="14"/>
                <w:color w:val="auto"/>
              </w:rPr>
              <w:t>34,014</w:t>
            </w:r>
          </w:p>
        </w:tc>
        <w:tc>
          <w:tcPr>
            <w:tcW w:w="1440" w:type="dxa"/>
            <w:vAlign w:val="bottom"/>
            <w:shd w:val="clear" w:color="auto" w:fill="CCCCCC"/>
          </w:tcPr>
          <w:p>
            <w:pPr>
              <w:jc w:val="right"/>
              <w:spacing w:after="0" w:line="155" w:lineRule="exact"/>
              <w:rPr>
                <w:sz w:val="20"/>
                <w:szCs w:val="20"/>
                <w:color w:val="auto"/>
              </w:rPr>
            </w:pPr>
            <w:r>
              <w:rPr>
                <w:rFonts w:ascii="Arial" w:cs="Arial" w:eastAsia="Arial" w:hAnsi="Arial"/>
                <w:sz w:val="14"/>
                <w:szCs w:val="14"/>
                <w:color w:val="auto"/>
              </w:rPr>
              <w:t>74,451</w:t>
            </w:r>
          </w:p>
        </w:tc>
      </w:tr>
      <w:tr>
        <w:trPr>
          <w:trHeight w:val="325"/>
        </w:trPr>
        <w:tc>
          <w:tcPr>
            <w:tcW w:w="340" w:type="dxa"/>
            <w:vAlign w:val="bottom"/>
            <w:tcBorders>
              <w:bottom w:val="single" w:sz="8" w:color="CCCCCC"/>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74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Mr. Servodidio ($)*</w:t>
            </w:r>
          </w:p>
        </w:tc>
        <w:tc>
          <w:tcPr>
            <w:tcW w:w="28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spacing w:after="0"/>
              <w:rPr>
                <w:sz w:val="24"/>
                <w:szCs w:val="24"/>
                <w:color w:val="auto"/>
              </w:rPr>
            </w:pPr>
          </w:p>
        </w:tc>
      </w:tr>
      <w:tr>
        <w:trPr>
          <w:trHeight w:val="162"/>
        </w:trPr>
        <w:tc>
          <w:tcPr>
            <w:tcW w:w="340" w:type="dxa"/>
            <w:vAlign w:val="bottom"/>
            <w:shd w:val="clear" w:color="auto" w:fill="CCCCCC"/>
          </w:tcPr>
          <w:p>
            <w:pPr>
              <w:spacing w:after="0"/>
              <w:rPr>
                <w:sz w:val="14"/>
                <w:szCs w:val="14"/>
                <w:color w:val="auto"/>
              </w:rPr>
            </w:pPr>
          </w:p>
        </w:tc>
        <w:tc>
          <w:tcPr>
            <w:tcW w:w="1560" w:type="dxa"/>
            <w:vAlign w:val="bottom"/>
            <w:tcBorders>
              <w:bottom w:val="single" w:sz="8" w:color="auto"/>
            </w:tcBorders>
            <w:shd w:val="clear" w:color="auto" w:fill="CCCCCC"/>
          </w:tcPr>
          <w:p>
            <w:pPr>
              <w:ind w:left="700"/>
              <w:spacing w:after="0"/>
              <w:rPr>
                <w:sz w:val="20"/>
                <w:szCs w:val="20"/>
                <w:color w:val="auto"/>
              </w:rPr>
            </w:pPr>
            <w:r>
              <w:rPr>
                <w:rFonts w:ascii="Arial" w:cs="Arial" w:eastAsia="Arial" w:hAnsi="Arial"/>
                <w:sz w:val="14"/>
                <w:szCs w:val="14"/>
                <w:b w:val="1"/>
                <w:bCs w:val="1"/>
                <w:color w:val="auto"/>
              </w:rPr>
              <w:t>Year</w:t>
            </w:r>
          </w:p>
        </w:tc>
        <w:tc>
          <w:tcPr>
            <w:tcW w:w="2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b w:val="1"/>
                <w:bCs w:val="1"/>
                <w:color w:val="auto"/>
              </w:rPr>
              <w:t>Housing Allowance</w:t>
            </w:r>
          </w:p>
        </w:tc>
        <w:tc>
          <w:tcPr>
            <w:tcW w:w="2540" w:type="dxa"/>
            <w:vAlign w:val="bottom"/>
            <w:tcBorders>
              <w:bottom w:val="single" w:sz="8" w:color="auto"/>
            </w:tcBorders>
            <w:shd w:val="clear" w:color="auto" w:fill="CCCCCC"/>
          </w:tcPr>
          <w:p>
            <w:pPr>
              <w:jc w:val="center"/>
              <w:ind w:right="8"/>
              <w:spacing w:after="0"/>
              <w:rPr>
                <w:sz w:val="20"/>
                <w:szCs w:val="20"/>
                <w:color w:val="auto"/>
              </w:rPr>
            </w:pPr>
            <w:r>
              <w:rPr>
                <w:rFonts w:ascii="Arial" w:cs="Arial" w:eastAsia="Arial" w:hAnsi="Arial"/>
                <w:sz w:val="14"/>
                <w:szCs w:val="14"/>
                <w:b w:val="1"/>
                <w:bCs w:val="1"/>
                <w:color w:val="auto"/>
              </w:rPr>
              <w:t>Relocation Benefits</w:t>
            </w:r>
          </w:p>
        </w:tc>
        <w:tc>
          <w:tcPr>
            <w:tcW w:w="2800" w:type="dxa"/>
            <w:vAlign w:val="bottom"/>
            <w:tcBorders>
              <w:bottom w:val="single" w:sz="8" w:color="auto"/>
            </w:tcBorders>
            <w:shd w:val="clear" w:color="auto" w:fill="CCCCCC"/>
          </w:tcPr>
          <w:p>
            <w:pPr>
              <w:ind w:left="620"/>
              <w:spacing w:after="0"/>
              <w:rPr>
                <w:sz w:val="20"/>
                <w:szCs w:val="20"/>
                <w:color w:val="auto"/>
              </w:rPr>
            </w:pPr>
            <w:r>
              <w:rPr>
                <w:rFonts w:ascii="Arial" w:cs="Arial" w:eastAsia="Arial" w:hAnsi="Arial"/>
                <w:sz w:val="14"/>
                <w:szCs w:val="14"/>
                <w:b w:val="1"/>
                <w:bCs w:val="1"/>
                <w:color w:val="auto"/>
              </w:rPr>
              <w:t>Other Allowances**</w:t>
            </w:r>
          </w:p>
        </w:tc>
        <w:tc>
          <w:tcPr>
            <w:tcW w:w="14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b w:val="1"/>
                <w:bCs w:val="1"/>
                <w:color w:val="auto"/>
              </w:rPr>
              <w:t>Total</w:t>
            </w:r>
          </w:p>
        </w:tc>
      </w:tr>
      <w:tr>
        <w:trPr>
          <w:trHeight w:val="156"/>
        </w:trPr>
        <w:tc>
          <w:tcPr>
            <w:tcW w:w="340" w:type="dxa"/>
            <w:vAlign w:val="bottom"/>
            <w:tcBorders>
              <w:bottom w:val="single" w:sz="8" w:color="CCCCCC"/>
            </w:tcBorders>
          </w:tcPr>
          <w:p>
            <w:pPr>
              <w:spacing w:after="0"/>
              <w:rPr>
                <w:sz w:val="13"/>
                <w:szCs w:val="13"/>
                <w:color w:val="auto"/>
              </w:rPr>
            </w:pPr>
          </w:p>
        </w:tc>
        <w:tc>
          <w:tcPr>
            <w:tcW w:w="1560" w:type="dxa"/>
            <w:vAlign w:val="bottom"/>
            <w:tcBorders>
              <w:bottom w:val="single" w:sz="8" w:color="auto"/>
            </w:tcBorders>
          </w:tcPr>
          <w:p>
            <w:pPr>
              <w:ind w:left="680"/>
              <w:spacing w:after="0" w:line="155" w:lineRule="exact"/>
              <w:rPr>
                <w:sz w:val="20"/>
                <w:szCs w:val="20"/>
                <w:color w:val="auto"/>
              </w:rPr>
            </w:pPr>
            <w:r>
              <w:rPr>
                <w:rFonts w:ascii="Arial" w:cs="Arial" w:eastAsia="Arial" w:hAnsi="Arial"/>
                <w:sz w:val="14"/>
                <w:szCs w:val="14"/>
                <w:color w:val="auto"/>
              </w:rPr>
              <w:t>2018</w:t>
            </w:r>
          </w:p>
        </w:tc>
        <w:tc>
          <w:tcPr>
            <w:tcW w:w="2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175,097</w:t>
            </w:r>
          </w:p>
        </w:tc>
        <w:tc>
          <w:tcPr>
            <w:tcW w:w="254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color w:val="auto"/>
                <w:w w:val="99"/>
              </w:rPr>
              <w:t>—</w:t>
            </w:r>
          </w:p>
        </w:tc>
        <w:tc>
          <w:tcPr>
            <w:tcW w:w="2800" w:type="dxa"/>
            <w:vAlign w:val="bottom"/>
            <w:tcBorders>
              <w:bottom w:val="single" w:sz="8" w:color="auto"/>
            </w:tcBorders>
          </w:tcPr>
          <w:p>
            <w:pPr>
              <w:jc w:val="center"/>
              <w:ind w:right="168"/>
              <w:spacing w:after="0" w:line="155" w:lineRule="exact"/>
              <w:rPr>
                <w:sz w:val="20"/>
                <w:szCs w:val="20"/>
                <w:color w:val="auto"/>
              </w:rPr>
            </w:pPr>
            <w:r>
              <w:rPr>
                <w:rFonts w:ascii="Arial" w:cs="Arial" w:eastAsia="Arial" w:hAnsi="Arial"/>
                <w:sz w:val="14"/>
                <w:szCs w:val="14"/>
                <w:color w:val="auto"/>
              </w:rPr>
              <w:t>91,851</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266,948</w:t>
            </w:r>
          </w:p>
        </w:tc>
      </w:tr>
      <w:tr>
        <w:trPr>
          <w:trHeight w:val="156"/>
        </w:trPr>
        <w:tc>
          <w:tcPr>
            <w:tcW w:w="340" w:type="dxa"/>
            <w:vAlign w:val="bottom"/>
            <w:shd w:val="clear" w:color="auto" w:fill="CCCCCC"/>
          </w:tcPr>
          <w:p>
            <w:pPr>
              <w:spacing w:after="0"/>
              <w:rPr>
                <w:sz w:val="13"/>
                <w:szCs w:val="13"/>
                <w:color w:val="auto"/>
              </w:rPr>
            </w:pPr>
          </w:p>
        </w:tc>
        <w:tc>
          <w:tcPr>
            <w:tcW w:w="1560" w:type="dxa"/>
            <w:vAlign w:val="bottom"/>
            <w:tcBorders>
              <w:bottom w:val="single" w:sz="8" w:color="auto"/>
            </w:tcBorders>
            <w:shd w:val="clear" w:color="auto" w:fill="CCCCCC"/>
          </w:tcPr>
          <w:p>
            <w:pPr>
              <w:ind w:left="680"/>
              <w:spacing w:after="0" w:line="155" w:lineRule="exact"/>
              <w:rPr>
                <w:sz w:val="20"/>
                <w:szCs w:val="20"/>
                <w:color w:val="auto"/>
              </w:rPr>
            </w:pPr>
            <w:r>
              <w:rPr>
                <w:rFonts w:ascii="Arial" w:cs="Arial" w:eastAsia="Arial" w:hAnsi="Arial"/>
                <w:sz w:val="14"/>
                <w:szCs w:val="14"/>
                <w:color w:val="auto"/>
              </w:rPr>
              <w:t>2017</w:t>
            </w:r>
          </w:p>
        </w:tc>
        <w:tc>
          <w:tcPr>
            <w:tcW w:w="2740" w:type="dxa"/>
            <w:vAlign w:val="bottom"/>
            <w:tcBorders>
              <w:bottom w:val="single" w:sz="8" w:color="auto"/>
            </w:tcBorders>
            <w:shd w:val="clear" w:color="auto" w:fill="CCCCCC"/>
          </w:tcPr>
          <w:p>
            <w:pPr>
              <w:jc w:val="center"/>
              <w:spacing w:after="0" w:line="155" w:lineRule="exact"/>
              <w:rPr>
                <w:sz w:val="20"/>
                <w:szCs w:val="20"/>
                <w:color w:val="auto"/>
              </w:rPr>
            </w:pPr>
            <w:r>
              <w:rPr>
                <w:rFonts w:ascii="Arial" w:cs="Arial" w:eastAsia="Arial" w:hAnsi="Arial"/>
                <w:sz w:val="14"/>
                <w:szCs w:val="14"/>
                <w:color w:val="auto"/>
              </w:rPr>
              <w:t>166,588</w:t>
            </w:r>
          </w:p>
        </w:tc>
        <w:tc>
          <w:tcPr>
            <w:tcW w:w="2540" w:type="dxa"/>
            <w:vAlign w:val="bottom"/>
            <w:tcBorders>
              <w:bottom w:val="single" w:sz="8" w:color="auto"/>
            </w:tcBorders>
            <w:shd w:val="clear" w:color="auto" w:fill="CCCCCC"/>
          </w:tcPr>
          <w:p>
            <w:pPr>
              <w:jc w:val="center"/>
              <w:ind w:right="8"/>
              <w:spacing w:after="0" w:line="155" w:lineRule="exact"/>
              <w:rPr>
                <w:sz w:val="20"/>
                <w:szCs w:val="20"/>
                <w:color w:val="auto"/>
              </w:rPr>
            </w:pPr>
            <w:r>
              <w:rPr>
                <w:rFonts w:ascii="Arial" w:cs="Arial" w:eastAsia="Arial" w:hAnsi="Arial"/>
                <w:sz w:val="14"/>
                <w:szCs w:val="14"/>
                <w:color w:val="auto"/>
                <w:w w:val="99"/>
              </w:rPr>
              <w:t>—</w:t>
            </w:r>
          </w:p>
        </w:tc>
        <w:tc>
          <w:tcPr>
            <w:tcW w:w="2800" w:type="dxa"/>
            <w:vAlign w:val="bottom"/>
            <w:tcBorders>
              <w:bottom w:val="single" w:sz="8" w:color="auto"/>
            </w:tcBorders>
            <w:shd w:val="clear" w:color="auto" w:fill="CCCCCC"/>
          </w:tcPr>
          <w:p>
            <w:pPr>
              <w:jc w:val="center"/>
              <w:ind w:right="168"/>
              <w:spacing w:after="0" w:line="155" w:lineRule="exact"/>
              <w:rPr>
                <w:sz w:val="20"/>
                <w:szCs w:val="20"/>
                <w:color w:val="auto"/>
              </w:rPr>
            </w:pPr>
            <w:r>
              <w:rPr>
                <w:rFonts w:ascii="Arial" w:cs="Arial" w:eastAsia="Arial" w:hAnsi="Arial"/>
                <w:sz w:val="14"/>
                <w:szCs w:val="14"/>
                <w:color w:val="auto"/>
              </w:rPr>
              <w:t>106,504</w:t>
            </w:r>
          </w:p>
        </w:tc>
        <w:tc>
          <w:tcPr>
            <w:tcW w:w="144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273,092</w:t>
            </w:r>
          </w:p>
        </w:tc>
      </w:tr>
      <w:tr>
        <w:trPr>
          <w:trHeight w:val="156"/>
        </w:trPr>
        <w:tc>
          <w:tcPr>
            <w:tcW w:w="340" w:type="dxa"/>
            <w:vAlign w:val="bottom"/>
          </w:tcPr>
          <w:p>
            <w:pPr>
              <w:spacing w:after="0"/>
              <w:rPr>
                <w:sz w:val="13"/>
                <w:szCs w:val="13"/>
                <w:color w:val="auto"/>
              </w:rPr>
            </w:pPr>
          </w:p>
        </w:tc>
        <w:tc>
          <w:tcPr>
            <w:tcW w:w="1560" w:type="dxa"/>
            <w:vAlign w:val="bottom"/>
            <w:tcBorders>
              <w:bottom w:val="single" w:sz="8" w:color="auto"/>
            </w:tcBorders>
          </w:tcPr>
          <w:p>
            <w:pPr>
              <w:ind w:left="680"/>
              <w:spacing w:after="0" w:line="155" w:lineRule="exact"/>
              <w:rPr>
                <w:sz w:val="20"/>
                <w:szCs w:val="20"/>
                <w:color w:val="auto"/>
              </w:rPr>
            </w:pPr>
            <w:r>
              <w:rPr>
                <w:rFonts w:ascii="Arial" w:cs="Arial" w:eastAsia="Arial" w:hAnsi="Arial"/>
                <w:sz w:val="14"/>
                <w:szCs w:val="14"/>
                <w:color w:val="auto"/>
              </w:rPr>
              <w:t>2016</w:t>
            </w:r>
          </w:p>
        </w:tc>
        <w:tc>
          <w:tcPr>
            <w:tcW w:w="2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179,899</w:t>
            </w:r>
          </w:p>
        </w:tc>
        <w:tc>
          <w:tcPr>
            <w:tcW w:w="2540" w:type="dxa"/>
            <w:vAlign w:val="bottom"/>
            <w:tcBorders>
              <w:bottom w:val="single" w:sz="8" w:color="auto"/>
            </w:tcBorders>
          </w:tcPr>
          <w:p>
            <w:pPr>
              <w:jc w:val="center"/>
              <w:ind w:right="8"/>
              <w:spacing w:after="0" w:line="155" w:lineRule="exact"/>
              <w:rPr>
                <w:sz w:val="20"/>
                <w:szCs w:val="20"/>
                <w:color w:val="auto"/>
              </w:rPr>
            </w:pPr>
            <w:r>
              <w:rPr>
                <w:rFonts w:ascii="Arial" w:cs="Arial" w:eastAsia="Arial" w:hAnsi="Arial"/>
                <w:sz w:val="14"/>
                <w:szCs w:val="14"/>
                <w:color w:val="auto"/>
                <w:w w:val="99"/>
              </w:rPr>
              <w:t>—</w:t>
            </w:r>
          </w:p>
        </w:tc>
        <w:tc>
          <w:tcPr>
            <w:tcW w:w="2800" w:type="dxa"/>
            <w:vAlign w:val="bottom"/>
            <w:tcBorders>
              <w:bottom w:val="single" w:sz="8" w:color="auto"/>
            </w:tcBorders>
          </w:tcPr>
          <w:p>
            <w:pPr>
              <w:jc w:val="center"/>
              <w:ind w:right="168"/>
              <w:spacing w:after="0" w:line="155" w:lineRule="exact"/>
              <w:rPr>
                <w:sz w:val="20"/>
                <w:szCs w:val="20"/>
                <w:color w:val="auto"/>
              </w:rPr>
            </w:pPr>
            <w:r>
              <w:rPr>
                <w:rFonts w:ascii="Arial" w:cs="Arial" w:eastAsia="Arial" w:hAnsi="Arial"/>
                <w:sz w:val="14"/>
                <w:szCs w:val="14"/>
                <w:color w:val="auto"/>
              </w:rPr>
              <w:t>82,427</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262,326</w:t>
            </w:r>
          </w:p>
        </w:tc>
      </w:tr>
    </w:tbl>
    <w:p>
      <w:pPr>
        <w:spacing w:after="0" w:line="16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*Reflects a £/$ exchange rate as of the date paid, received or allocated.</w:t>
      </w:r>
    </w:p>
    <w:p>
      <w:pPr>
        <w:spacing w:after="0" w:line="163" w:lineRule="exact"/>
        <w:rPr>
          <w:sz w:val="20"/>
          <w:szCs w:val="20"/>
          <w:color w:val="auto"/>
        </w:rPr>
      </w:pPr>
    </w:p>
    <w:p>
      <w:pPr>
        <w:jc w:val="both"/>
        <w:ind w:left="340"/>
        <w:spacing w:after="0" w:line="248" w:lineRule="auto"/>
        <w:rPr>
          <w:sz w:val="20"/>
          <w:szCs w:val="20"/>
          <w:color w:val="auto"/>
        </w:rPr>
      </w:pPr>
      <w:r>
        <w:rPr>
          <w:rFonts w:ascii="Arial" w:cs="Arial" w:eastAsia="Arial" w:hAnsi="Arial"/>
          <w:sz w:val="14"/>
          <w:szCs w:val="14"/>
          <w:color w:val="auto"/>
        </w:rPr>
        <w:t>**For Mr. Servodidio, amounts include allowances for home leave, utilities, and a goods and services differential to make up for the difference in prices between home and host locations in addition to reasonable car rental costs for his accompanying spouse while on assignment. For 2016, amounts for Mr. De Shon relate solely to return moving and shipment services in connection with the end of his assignment to the United Kingdom. For Mr. Smith, amount includes reimbursements for home leave to the United Kingdom.</w:t>
      </w:r>
    </w:p>
    <w:p>
      <w:pPr>
        <w:spacing w:after="0" w:line="3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Mr. Smith, amounts include destination services related to his relocation from the United Kingdom to the United States.</w:t>
      </w:r>
    </w:p>
    <w:p>
      <w:pPr>
        <w:spacing w:after="0" w:line="163" w:lineRule="exact"/>
        <w:rPr>
          <w:sz w:val="20"/>
          <w:szCs w:val="20"/>
          <w:color w:val="auto"/>
        </w:rPr>
      </w:pPr>
    </w:p>
    <w:p>
      <w:pPr>
        <w:jc w:val="both"/>
        <w:ind w:left="340" w:hanging="332"/>
        <w:spacing w:after="0" w:line="244"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Mr. Servodidio, amounts represent the incremental cost to the Company of tax equalization and other related payments associated with long-term assignments to the United Kingdom, all in accordance with the Company’s standard policies. For 2018, estimates of these values are reported, and are based on currently available information. Actual 2018 values may differ, and are subject to change based on additional credits due to the Company or liabilities incurred by the Company related to filings for the 2018/2019 tax year in the United Kingdom. For 2018, amounts for Mr. De Shon primarily represent trailing liabilities related to stock awards that vested in 2018. Per the Company’s standard policy, expatriate benefits and reimbursements are discontinued at the end of an assignment. However, tax equalization and other tax related payments may continue, but only to the extent that liabilities related to the foreign assignment are incurred. For 2018, we have included $230,104 attributable to 2017 income which was not paid until after the 2017 proxy statement was filed.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Perquisites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rPr>
              <w:t>Personal</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rPr>
              <w:t>Use of</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center"/>
              <w:ind w:left="8"/>
              <w:spacing w:after="0"/>
              <w:rPr>
                <w:sz w:val="20"/>
                <w:szCs w:val="20"/>
                <w:color w:val="auto"/>
              </w:rPr>
            </w:pPr>
            <w:r>
              <w:rPr>
                <w:rFonts w:ascii="Arial" w:cs="Arial" w:eastAsia="Arial" w:hAnsi="Arial"/>
                <w:sz w:val="14"/>
                <w:szCs w:val="14"/>
                <w:b w:val="1"/>
                <w:bCs w:val="1"/>
                <w:color w:val="auto"/>
              </w:rPr>
              <w:t>Company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Financial</w:t>
            </w:r>
          </w:p>
        </w:tc>
        <w:tc>
          <w:tcPr>
            <w:tcW w:w="14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162"/>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80" w:type="dxa"/>
            <w:vAlign w:val="bottom"/>
          </w:tcPr>
          <w:p>
            <w:pPr>
              <w:jc w:val="center"/>
              <w:ind w:left="28"/>
              <w:spacing w:after="0"/>
              <w:rPr>
                <w:sz w:val="20"/>
                <w:szCs w:val="20"/>
                <w:color w:val="auto"/>
              </w:rPr>
            </w:pPr>
            <w:r>
              <w:rPr>
                <w:rFonts w:ascii="Arial" w:cs="Arial" w:eastAsia="Arial" w:hAnsi="Arial"/>
                <w:sz w:val="14"/>
                <w:szCs w:val="14"/>
                <w:b w:val="1"/>
                <w:bCs w:val="1"/>
                <w:color w:val="auto"/>
              </w:rPr>
              <w:t>Aircraft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460" w:type="dxa"/>
            <w:vAlign w:val="bottom"/>
          </w:tcPr>
          <w:p>
            <w:pPr>
              <w:jc w:val="center"/>
              <w:ind w:right="28"/>
              <w:spacing w:after="0"/>
              <w:rPr>
                <w:sz w:val="20"/>
                <w:szCs w:val="20"/>
                <w:color w:val="auto"/>
              </w:rPr>
            </w:pPr>
            <w:r>
              <w:rPr>
                <w:rFonts w:ascii="Arial" w:cs="Arial" w:eastAsia="Arial" w:hAnsi="Arial"/>
                <w:sz w:val="14"/>
                <w:szCs w:val="14"/>
                <w:b w:val="1"/>
                <w:bCs w:val="1"/>
                <w:color w:val="auto"/>
              </w:rPr>
              <w:t>Car</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Perquisites</w:t>
            </w:r>
          </w:p>
        </w:tc>
      </w:tr>
      <w:tr>
        <w:trPr>
          <w:trHeight w:val="182"/>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Year</w:t>
            </w:r>
          </w:p>
        </w:tc>
        <w:tc>
          <w:tcPr>
            <w:tcW w:w="15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($)(a)</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w:t>
            </w:r>
          </w:p>
        </w:tc>
      </w:tr>
      <w:tr>
        <w:trPr>
          <w:trHeight w:val="162"/>
        </w:trPr>
        <w:tc>
          <w:tcPr>
            <w:tcW w:w="4000" w:type="dxa"/>
            <w:vAlign w:val="bottom"/>
            <w:shd w:val="clear" w:color="auto" w:fill="CCCCCC"/>
          </w:tcPr>
          <w:p>
            <w:pPr>
              <w:ind w:left="60"/>
              <w:spacing w:after="0"/>
              <w:rPr>
                <w:sz w:val="20"/>
                <w:szCs w:val="20"/>
                <w:color w:val="auto"/>
              </w:rPr>
            </w:pPr>
            <w:r>
              <w:rPr>
                <w:rFonts w:ascii="Arial" w:cs="Arial" w:eastAsia="Arial" w:hAnsi="Arial"/>
                <w:sz w:val="14"/>
                <w:szCs w:val="14"/>
                <w:color w:val="auto"/>
              </w:rPr>
              <w:t>Mr. De Shon</w:t>
            </w:r>
          </w:p>
        </w:tc>
        <w:tc>
          <w:tcPr>
            <w:tcW w:w="1480" w:type="dxa"/>
            <w:vAlign w:val="bottom"/>
            <w:shd w:val="clear" w:color="auto" w:fill="CCCCCC"/>
          </w:tcPr>
          <w:p>
            <w:pPr>
              <w:ind w:left="660"/>
              <w:spacing w:after="0"/>
              <w:rPr>
                <w:sz w:val="20"/>
                <w:szCs w:val="20"/>
                <w:color w:val="auto"/>
              </w:rPr>
            </w:pPr>
            <w:r>
              <w:rPr>
                <w:rFonts w:ascii="Arial" w:cs="Arial" w:eastAsia="Arial" w:hAnsi="Arial"/>
                <w:sz w:val="14"/>
                <w:szCs w:val="14"/>
                <w:color w:val="auto"/>
              </w:rPr>
              <w:t>2018</w:t>
            </w:r>
          </w:p>
        </w:tc>
        <w:tc>
          <w:tcPr>
            <w:tcW w:w="158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rPr>
              <w:t>23,926</w:t>
            </w:r>
          </w:p>
        </w:tc>
        <w:tc>
          <w:tcPr>
            <w:tcW w:w="15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13,703</w:t>
            </w:r>
          </w:p>
        </w:tc>
        <w:tc>
          <w:tcPr>
            <w:tcW w:w="146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15,913</w:t>
            </w:r>
          </w:p>
        </w:tc>
        <w:tc>
          <w:tcPr>
            <w:tcW w:w="13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57,392</w:t>
            </w:r>
          </w:p>
        </w:tc>
      </w:tr>
      <w:tr>
        <w:trPr>
          <w:trHeight w:val="162"/>
        </w:trPr>
        <w:tc>
          <w:tcPr>
            <w:tcW w:w="4000" w:type="dxa"/>
            <w:vAlign w:val="bottom"/>
            <w:shd w:val="clear" w:color="auto" w:fill="CCCCCC"/>
          </w:tcPr>
          <w:p>
            <w:pPr>
              <w:spacing w:after="0"/>
              <w:rPr>
                <w:sz w:val="14"/>
                <w:szCs w:val="14"/>
                <w:color w:val="auto"/>
              </w:rPr>
            </w:pPr>
          </w:p>
        </w:tc>
        <w:tc>
          <w:tcPr>
            <w:tcW w:w="1480" w:type="dxa"/>
            <w:vAlign w:val="bottom"/>
            <w:shd w:val="clear" w:color="auto" w:fill="CCCCCC"/>
          </w:tcPr>
          <w:p>
            <w:pPr>
              <w:ind w:left="660"/>
              <w:spacing w:after="0"/>
              <w:rPr>
                <w:sz w:val="20"/>
                <w:szCs w:val="20"/>
                <w:color w:val="auto"/>
              </w:rPr>
            </w:pPr>
            <w:r>
              <w:rPr>
                <w:rFonts w:ascii="Arial" w:cs="Arial" w:eastAsia="Arial" w:hAnsi="Arial"/>
                <w:sz w:val="14"/>
                <w:szCs w:val="14"/>
                <w:color w:val="auto"/>
              </w:rPr>
              <w:t>2017</w:t>
            </w:r>
          </w:p>
        </w:tc>
        <w:tc>
          <w:tcPr>
            <w:tcW w:w="158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rPr>
              <w:t>8,694</w:t>
            </w:r>
          </w:p>
        </w:tc>
        <w:tc>
          <w:tcPr>
            <w:tcW w:w="15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13,226</w:t>
            </w:r>
          </w:p>
        </w:tc>
        <w:tc>
          <w:tcPr>
            <w:tcW w:w="146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18,207</w:t>
            </w:r>
          </w:p>
        </w:tc>
        <w:tc>
          <w:tcPr>
            <w:tcW w:w="13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43,977</w:t>
            </w:r>
          </w:p>
        </w:tc>
      </w:tr>
      <w:tr>
        <w:trPr>
          <w:trHeight w:val="162"/>
        </w:trPr>
        <w:tc>
          <w:tcPr>
            <w:tcW w:w="4000" w:type="dxa"/>
            <w:vAlign w:val="bottom"/>
            <w:tcBorders>
              <w:bottom w:val="single" w:sz="8" w:color="auto"/>
            </w:tcBorders>
            <w:shd w:val="clear" w:color="auto" w:fill="CCCCCC"/>
          </w:tcPr>
          <w:p>
            <w:pPr>
              <w:spacing w:after="0"/>
              <w:rPr>
                <w:sz w:val="14"/>
                <w:szCs w:val="14"/>
                <w:color w:val="auto"/>
              </w:rPr>
            </w:pPr>
          </w:p>
        </w:tc>
        <w:tc>
          <w:tcPr>
            <w:tcW w:w="1480" w:type="dxa"/>
            <w:vAlign w:val="bottom"/>
            <w:tcBorders>
              <w:bottom w:val="single" w:sz="8" w:color="auto"/>
            </w:tcBorders>
            <w:shd w:val="clear" w:color="auto" w:fill="CCCCCC"/>
          </w:tcPr>
          <w:p>
            <w:pPr>
              <w:ind w:left="660"/>
              <w:spacing w:after="0"/>
              <w:rPr>
                <w:sz w:val="20"/>
                <w:szCs w:val="20"/>
                <w:color w:val="auto"/>
              </w:rPr>
            </w:pPr>
            <w:r>
              <w:rPr>
                <w:rFonts w:ascii="Arial" w:cs="Arial" w:eastAsia="Arial" w:hAnsi="Arial"/>
                <w:sz w:val="14"/>
                <w:szCs w:val="14"/>
                <w:color w:val="auto"/>
              </w:rPr>
              <w:t>2016</w:t>
            </w:r>
          </w:p>
        </w:tc>
        <w:tc>
          <w:tcPr>
            <w:tcW w:w="1580" w:type="dxa"/>
            <w:vAlign w:val="bottom"/>
            <w:tcBorders>
              <w:bottom w:val="single" w:sz="8" w:color="auto"/>
            </w:tcBorders>
            <w:shd w:val="clear" w:color="auto" w:fill="CCCCCC"/>
          </w:tcPr>
          <w:p>
            <w:pPr>
              <w:jc w:val="center"/>
              <w:ind w:left="28"/>
              <w:spacing w:after="0"/>
              <w:rPr>
                <w:sz w:val="20"/>
                <w:szCs w:val="20"/>
                <w:color w:val="auto"/>
              </w:rPr>
            </w:pPr>
            <w:r>
              <w:rPr>
                <w:rFonts w:ascii="Arial" w:cs="Arial" w:eastAsia="Arial" w:hAnsi="Arial"/>
                <w:sz w:val="14"/>
                <w:szCs w:val="14"/>
                <w:color w:val="auto"/>
              </w:rPr>
              <w:t>66,061</w:t>
            </w:r>
          </w:p>
        </w:tc>
        <w:tc>
          <w:tcPr>
            <w:tcW w:w="15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12,868</w:t>
            </w:r>
          </w:p>
        </w:tc>
        <w:tc>
          <w:tcPr>
            <w:tcW w:w="1460" w:type="dxa"/>
            <w:vAlign w:val="bottom"/>
            <w:tcBorders>
              <w:bottom w:val="single" w:sz="8" w:color="auto"/>
            </w:tcBorders>
            <w:shd w:val="clear" w:color="auto" w:fill="CCCCCC"/>
          </w:tcPr>
          <w:p>
            <w:pPr>
              <w:jc w:val="center"/>
              <w:ind w:right="28"/>
              <w:spacing w:after="0"/>
              <w:rPr>
                <w:sz w:val="20"/>
                <w:szCs w:val="20"/>
                <w:color w:val="auto"/>
              </w:rPr>
            </w:pPr>
            <w:r>
              <w:rPr>
                <w:rFonts w:ascii="Arial" w:cs="Arial" w:eastAsia="Arial" w:hAnsi="Arial"/>
                <w:sz w:val="14"/>
                <w:szCs w:val="14"/>
                <w:color w:val="auto"/>
              </w:rPr>
              <w:t>21,924</w:t>
            </w:r>
          </w:p>
        </w:tc>
        <w:tc>
          <w:tcPr>
            <w:tcW w:w="13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104,603</w:t>
            </w:r>
          </w:p>
        </w:tc>
      </w:tr>
      <w:tr>
        <w:trPr>
          <w:trHeight w:val="160"/>
        </w:trPr>
        <w:tc>
          <w:tcPr>
            <w:tcW w:w="4000" w:type="dxa"/>
            <w:vAlign w:val="bottom"/>
          </w:tcPr>
          <w:p>
            <w:pPr>
              <w:ind w:left="60"/>
              <w:spacing w:after="0"/>
              <w:rPr>
                <w:sz w:val="20"/>
                <w:szCs w:val="20"/>
                <w:color w:val="auto"/>
              </w:rPr>
            </w:pPr>
            <w:r>
              <w:rPr>
                <w:rFonts w:ascii="Arial" w:cs="Arial" w:eastAsia="Arial" w:hAnsi="Arial"/>
                <w:sz w:val="14"/>
                <w:szCs w:val="14"/>
                <w:color w:val="auto"/>
              </w:rPr>
              <w:t>Mr. Smith</w:t>
            </w:r>
          </w:p>
        </w:tc>
        <w:tc>
          <w:tcPr>
            <w:tcW w:w="1480" w:type="dxa"/>
            <w:vAlign w:val="bottom"/>
          </w:tcPr>
          <w:p>
            <w:pPr>
              <w:ind w:left="660"/>
              <w:spacing w:after="0"/>
              <w:rPr>
                <w:sz w:val="20"/>
                <w:szCs w:val="20"/>
                <w:color w:val="auto"/>
              </w:rPr>
            </w:pPr>
            <w:r>
              <w:rPr>
                <w:rFonts w:ascii="Arial" w:cs="Arial" w:eastAsia="Arial" w:hAnsi="Arial"/>
                <w:sz w:val="14"/>
                <w:szCs w:val="14"/>
                <w:color w:val="auto"/>
              </w:rPr>
              <w:t>2018</w:t>
            </w:r>
          </w:p>
        </w:tc>
        <w:tc>
          <w:tcPr>
            <w:tcW w:w="15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1,593</w:t>
            </w:r>
          </w:p>
        </w:tc>
        <w:tc>
          <w:tcPr>
            <w:tcW w:w="1460" w:type="dxa"/>
            <w:vAlign w:val="bottom"/>
          </w:tcPr>
          <w:p>
            <w:pPr>
              <w:jc w:val="center"/>
              <w:ind w:right="28"/>
              <w:spacing w:after="0"/>
              <w:rPr>
                <w:sz w:val="20"/>
                <w:szCs w:val="20"/>
                <w:color w:val="auto"/>
              </w:rPr>
            </w:pPr>
            <w:r>
              <w:rPr>
                <w:rFonts w:ascii="Arial" w:cs="Arial" w:eastAsia="Arial" w:hAnsi="Arial"/>
                <w:sz w:val="14"/>
                <w:szCs w:val="14"/>
                <w:color w:val="auto"/>
              </w:rPr>
              <w:t>11,250</w:t>
            </w:r>
          </w:p>
        </w:tc>
        <w:tc>
          <w:tcPr>
            <w:tcW w:w="1380" w:type="dxa"/>
            <w:vAlign w:val="bottom"/>
          </w:tcPr>
          <w:p>
            <w:pPr>
              <w:jc w:val="right"/>
              <w:spacing w:after="0"/>
              <w:rPr>
                <w:sz w:val="20"/>
                <w:szCs w:val="20"/>
                <w:color w:val="auto"/>
              </w:rPr>
            </w:pPr>
            <w:r>
              <w:rPr>
                <w:rFonts w:ascii="Arial" w:cs="Arial" w:eastAsia="Arial" w:hAnsi="Arial"/>
                <w:sz w:val="14"/>
                <w:szCs w:val="14"/>
                <w:color w:val="auto"/>
              </w:rPr>
              <w:t>12,843</w:t>
            </w:r>
          </w:p>
        </w:tc>
      </w:tr>
      <w:tr>
        <w:trPr>
          <w:trHeight w:val="157"/>
        </w:trPr>
        <w:tc>
          <w:tcPr>
            <w:tcW w:w="40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ind w:left="660"/>
              <w:spacing w:after="0" w:line="157" w:lineRule="exact"/>
              <w:rPr>
                <w:sz w:val="20"/>
                <w:szCs w:val="20"/>
                <w:color w:val="auto"/>
              </w:rPr>
            </w:pPr>
            <w:r>
              <w:rPr>
                <w:rFonts w:ascii="Arial" w:cs="Arial" w:eastAsia="Arial" w:hAnsi="Arial"/>
                <w:sz w:val="14"/>
                <w:szCs w:val="14"/>
                <w:color w:val="auto"/>
              </w:rPr>
              <w:t>2017</w:t>
            </w:r>
          </w:p>
        </w:tc>
        <w:tc>
          <w:tcPr>
            <w:tcW w:w="1580" w:type="dxa"/>
            <w:vAlign w:val="bottom"/>
            <w:tcBorders>
              <w:bottom w:val="single" w:sz="8" w:color="auto"/>
            </w:tcBorders>
          </w:tcPr>
          <w:p>
            <w:pPr>
              <w:jc w:val="center"/>
              <w:ind w:left="8"/>
              <w:spacing w:after="0" w:line="157" w:lineRule="exact"/>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833</w:t>
            </w:r>
          </w:p>
        </w:tc>
        <w:tc>
          <w:tcPr>
            <w:tcW w:w="1460" w:type="dxa"/>
            <w:vAlign w:val="bottom"/>
            <w:tcBorders>
              <w:bottom w:val="single" w:sz="8" w:color="auto"/>
            </w:tcBorders>
          </w:tcPr>
          <w:p>
            <w:pPr>
              <w:jc w:val="center"/>
              <w:ind w:right="28"/>
              <w:spacing w:after="0" w:line="157" w:lineRule="exact"/>
              <w:rPr>
                <w:sz w:val="20"/>
                <w:szCs w:val="20"/>
                <w:color w:val="auto"/>
              </w:rPr>
            </w:pPr>
            <w:r>
              <w:rPr>
                <w:rFonts w:ascii="Arial" w:cs="Arial" w:eastAsia="Arial" w:hAnsi="Arial"/>
                <w:sz w:val="14"/>
                <w:szCs w:val="14"/>
                <w:color w:val="auto"/>
              </w:rPr>
              <w:t>13,020</w:t>
            </w:r>
          </w:p>
        </w:tc>
        <w:tc>
          <w:tcPr>
            <w:tcW w:w="13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13,853</w:t>
            </w:r>
          </w:p>
        </w:tc>
      </w:tr>
      <w:tr>
        <w:trPr>
          <w:trHeight w:val="156"/>
        </w:trPr>
        <w:tc>
          <w:tcPr>
            <w:tcW w:w="4000" w:type="dxa"/>
            <w:vAlign w:val="bottom"/>
            <w:shd w:val="clear" w:color="auto" w:fill="CCCCCC"/>
          </w:tcPr>
          <w:p>
            <w:pPr>
              <w:ind w:left="60"/>
              <w:spacing w:after="0" w:line="155" w:lineRule="exact"/>
              <w:rPr>
                <w:sz w:val="20"/>
                <w:szCs w:val="20"/>
                <w:color w:val="auto"/>
              </w:rPr>
            </w:pPr>
            <w:r>
              <w:rPr>
                <w:rFonts w:ascii="Arial" w:cs="Arial" w:eastAsia="Arial" w:hAnsi="Arial"/>
                <w:sz w:val="14"/>
                <w:szCs w:val="14"/>
                <w:color w:val="auto"/>
              </w:rPr>
              <w:t>Mr. Ferraro</w:t>
            </w:r>
          </w:p>
        </w:tc>
        <w:tc>
          <w:tcPr>
            <w:tcW w:w="1480" w:type="dxa"/>
            <w:vAlign w:val="bottom"/>
            <w:shd w:val="clear" w:color="auto" w:fill="CCCCCC"/>
          </w:tcPr>
          <w:p>
            <w:pPr>
              <w:ind w:left="660"/>
              <w:spacing w:after="0" w:line="155" w:lineRule="exact"/>
              <w:rPr>
                <w:sz w:val="20"/>
                <w:szCs w:val="20"/>
                <w:color w:val="auto"/>
              </w:rPr>
            </w:pPr>
            <w:r>
              <w:rPr>
                <w:rFonts w:ascii="Arial" w:cs="Arial" w:eastAsia="Arial" w:hAnsi="Arial"/>
                <w:sz w:val="14"/>
                <w:szCs w:val="14"/>
                <w:color w:val="auto"/>
              </w:rPr>
              <w:t>2018</w:t>
            </w:r>
          </w:p>
        </w:tc>
        <w:tc>
          <w:tcPr>
            <w:tcW w:w="1580" w:type="dxa"/>
            <w:vAlign w:val="bottom"/>
            <w:shd w:val="clear" w:color="auto" w:fill="CCCCCC"/>
          </w:tcPr>
          <w:p>
            <w:pPr>
              <w:jc w:val="center"/>
              <w:ind w:left="28"/>
              <w:spacing w:after="0" w:line="155" w:lineRule="exact"/>
              <w:rPr>
                <w:sz w:val="20"/>
                <w:szCs w:val="20"/>
                <w:color w:val="auto"/>
              </w:rPr>
            </w:pPr>
            <w:r>
              <w:rPr>
                <w:rFonts w:ascii="Arial" w:cs="Arial" w:eastAsia="Arial" w:hAnsi="Arial"/>
                <w:sz w:val="14"/>
                <w:szCs w:val="14"/>
                <w:color w:val="auto"/>
              </w:rPr>
              <w:t>2,461</w:t>
            </w:r>
          </w:p>
        </w:tc>
        <w:tc>
          <w:tcPr>
            <w:tcW w:w="1520" w:type="dxa"/>
            <w:vAlign w:val="bottom"/>
            <w:shd w:val="clear" w:color="auto" w:fill="CCCCCC"/>
          </w:tcPr>
          <w:p>
            <w:pPr>
              <w:jc w:val="center"/>
              <w:spacing w:after="0" w:line="155" w:lineRule="exact"/>
              <w:rPr>
                <w:sz w:val="20"/>
                <w:szCs w:val="20"/>
                <w:color w:val="auto"/>
              </w:rPr>
            </w:pPr>
            <w:r>
              <w:rPr>
                <w:rFonts w:ascii="Arial" w:cs="Arial" w:eastAsia="Arial" w:hAnsi="Arial"/>
                <w:sz w:val="14"/>
                <w:szCs w:val="14"/>
                <w:color w:val="auto"/>
              </w:rPr>
              <w:t>12,953</w:t>
            </w:r>
          </w:p>
        </w:tc>
        <w:tc>
          <w:tcPr>
            <w:tcW w:w="1460" w:type="dxa"/>
            <w:vAlign w:val="bottom"/>
            <w:shd w:val="clear" w:color="auto" w:fill="CCCCCC"/>
          </w:tcPr>
          <w:p>
            <w:pPr>
              <w:jc w:val="center"/>
              <w:ind w:right="28"/>
              <w:spacing w:after="0" w:line="155" w:lineRule="exact"/>
              <w:rPr>
                <w:sz w:val="20"/>
                <w:szCs w:val="20"/>
                <w:color w:val="auto"/>
              </w:rPr>
            </w:pPr>
            <w:r>
              <w:rPr>
                <w:rFonts w:ascii="Arial" w:cs="Arial" w:eastAsia="Arial" w:hAnsi="Arial"/>
                <w:sz w:val="14"/>
                <w:szCs w:val="14"/>
                <w:color w:val="auto"/>
              </w:rPr>
              <w:t>21,394</w:t>
            </w:r>
          </w:p>
        </w:tc>
        <w:tc>
          <w:tcPr>
            <w:tcW w:w="1380" w:type="dxa"/>
            <w:vAlign w:val="bottom"/>
            <w:shd w:val="clear" w:color="auto" w:fill="CCCCCC"/>
          </w:tcPr>
          <w:p>
            <w:pPr>
              <w:jc w:val="right"/>
              <w:spacing w:after="0" w:line="155" w:lineRule="exact"/>
              <w:rPr>
                <w:sz w:val="20"/>
                <w:szCs w:val="20"/>
                <w:color w:val="auto"/>
              </w:rPr>
            </w:pPr>
            <w:r>
              <w:rPr>
                <w:rFonts w:ascii="Arial" w:cs="Arial" w:eastAsia="Arial" w:hAnsi="Arial"/>
                <w:sz w:val="14"/>
                <w:szCs w:val="14"/>
                <w:color w:val="auto"/>
              </w:rPr>
              <w:t>40,658</w:t>
            </w:r>
          </w:p>
        </w:tc>
      </w:tr>
      <w:tr>
        <w:trPr>
          <w:trHeight w:val="162"/>
        </w:trPr>
        <w:tc>
          <w:tcPr>
            <w:tcW w:w="4000" w:type="dxa"/>
            <w:vAlign w:val="bottom"/>
            <w:shd w:val="clear" w:color="auto" w:fill="CCCCCC"/>
          </w:tcPr>
          <w:p>
            <w:pPr>
              <w:spacing w:after="0"/>
              <w:rPr>
                <w:sz w:val="14"/>
                <w:szCs w:val="14"/>
                <w:color w:val="auto"/>
              </w:rPr>
            </w:pPr>
          </w:p>
        </w:tc>
        <w:tc>
          <w:tcPr>
            <w:tcW w:w="1480" w:type="dxa"/>
            <w:vAlign w:val="bottom"/>
            <w:shd w:val="clear" w:color="auto" w:fill="CCCCCC"/>
          </w:tcPr>
          <w:p>
            <w:pPr>
              <w:ind w:left="660"/>
              <w:spacing w:after="0"/>
              <w:rPr>
                <w:sz w:val="20"/>
                <w:szCs w:val="20"/>
                <w:color w:val="auto"/>
              </w:rPr>
            </w:pPr>
            <w:r>
              <w:rPr>
                <w:rFonts w:ascii="Arial" w:cs="Arial" w:eastAsia="Arial" w:hAnsi="Arial"/>
                <w:sz w:val="14"/>
                <w:szCs w:val="14"/>
                <w:color w:val="auto"/>
              </w:rPr>
              <w:t>2017</w:t>
            </w:r>
          </w:p>
        </w:tc>
        <w:tc>
          <w:tcPr>
            <w:tcW w:w="1580" w:type="dxa"/>
            <w:vAlign w:val="bottom"/>
            <w:shd w:val="clear" w:color="auto" w:fill="CCCCCC"/>
          </w:tcPr>
          <w:p>
            <w:pPr>
              <w:jc w:val="center"/>
              <w:ind w:left="28"/>
              <w:spacing w:after="0"/>
              <w:rPr>
                <w:sz w:val="20"/>
                <w:szCs w:val="20"/>
                <w:color w:val="auto"/>
              </w:rPr>
            </w:pPr>
            <w:r>
              <w:rPr>
                <w:rFonts w:ascii="Arial" w:cs="Arial" w:eastAsia="Arial" w:hAnsi="Arial"/>
                <w:sz w:val="14"/>
                <w:szCs w:val="14"/>
                <w:color w:val="auto"/>
              </w:rPr>
              <w:t>2,334</w:t>
            </w:r>
          </w:p>
        </w:tc>
        <w:tc>
          <w:tcPr>
            <w:tcW w:w="152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15,155</w:t>
            </w:r>
          </w:p>
        </w:tc>
        <w:tc>
          <w:tcPr>
            <w:tcW w:w="146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rPr>
              <w:t>20,342</w:t>
            </w:r>
          </w:p>
        </w:tc>
        <w:tc>
          <w:tcPr>
            <w:tcW w:w="138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37,831</w:t>
            </w:r>
          </w:p>
        </w:tc>
      </w:tr>
      <w:tr>
        <w:trPr>
          <w:trHeight w:val="162"/>
        </w:trPr>
        <w:tc>
          <w:tcPr>
            <w:tcW w:w="4000" w:type="dxa"/>
            <w:vAlign w:val="bottom"/>
            <w:tcBorders>
              <w:bottom w:val="single" w:sz="8" w:color="auto"/>
            </w:tcBorders>
            <w:shd w:val="clear" w:color="auto" w:fill="CCCCCC"/>
          </w:tcPr>
          <w:p>
            <w:pPr>
              <w:spacing w:after="0"/>
              <w:rPr>
                <w:sz w:val="14"/>
                <w:szCs w:val="14"/>
                <w:color w:val="auto"/>
              </w:rPr>
            </w:pPr>
          </w:p>
        </w:tc>
        <w:tc>
          <w:tcPr>
            <w:tcW w:w="1480" w:type="dxa"/>
            <w:vAlign w:val="bottom"/>
            <w:tcBorders>
              <w:bottom w:val="single" w:sz="8" w:color="auto"/>
            </w:tcBorders>
            <w:shd w:val="clear" w:color="auto" w:fill="CCCCCC"/>
          </w:tcPr>
          <w:p>
            <w:pPr>
              <w:ind w:left="660"/>
              <w:spacing w:after="0"/>
              <w:rPr>
                <w:sz w:val="20"/>
                <w:szCs w:val="20"/>
                <w:color w:val="auto"/>
              </w:rPr>
            </w:pPr>
            <w:r>
              <w:rPr>
                <w:rFonts w:ascii="Arial" w:cs="Arial" w:eastAsia="Arial" w:hAnsi="Arial"/>
                <w:sz w:val="14"/>
                <w:szCs w:val="14"/>
                <w:color w:val="auto"/>
              </w:rPr>
              <w:t>2016</w:t>
            </w:r>
          </w:p>
        </w:tc>
        <w:tc>
          <w:tcPr>
            <w:tcW w:w="1580" w:type="dxa"/>
            <w:vAlign w:val="bottom"/>
            <w:tcBorders>
              <w:bottom w:val="single" w:sz="8" w:color="auto"/>
            </w:tcBorders>
            <w:shd w:val="clear" w:color="auto" w:fill="CCCCCC"/>
          </w:tcPr>
          <w:p>
            <w:pPr>
              <w:jc w:val="center"/>
              <w:ind w:left="8"/>
              <w:spacing w:after="0"/>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10,417</w:t>
            </w:r>
          </w:p>
        </w:tc>
        <w:tc>
          <w:tcPr>
            <w:tcW w:w="1460" w:type="dxa"/>
            <w:vAlign w:val="bottom"/>
            <w:tcBorders>
              <w:bottom w:val="single" w:sz="8" w:color="auto"/>
            </w:tcBorders>
            <w:shd w:val="clear" w:color="auto" w:fill="CCCCCC"/>
          </w:tcPr>
          <w:p>
            <w:pPr>
              <w:jc w:val="center"/>
              <w:ind w:right="28"/>
              <w:spacing w:after="0"/>
              <w:rPr>
                <w:sz w:val="20"/>
                <w:szCs w:val="20"/>
                <w:color w:val="auto"/>
              </w:rPr>
            </w:pPr>
            <w:r>
              <w:rPr>
                <w:rFonts w:ascii="Arial" w:cs="Arial" w:eastAsia="Arial" w:hAnsi="Arial"/>
                <w:sz w:val="14"/>
                <w:szCs w:val="14"/>
                <w:color w:val="auto"/>
              </w:rPr>
              <w:t>19,107</w:t>
            </w:r>
          </w:p>
        </w:tc>
        <w:tc>
          <w:tcPr>
            <w:tcW w:w="13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33,374</w:t>
            </w:r>
          </w:p>
        </w:tc>
      </w:tr>
      <w:tr>
        <w:trPr>
          <w:trHeight w:val="160"/>
        </w:trPr>
        <w:tc>
          <w:tcPr>
            <w:tcW w:w="4000" w:type="dxa"/>
            <w:vAlign w:val="bottom"/>
          </w:tcPr>
          <w:p>
            <w:pPr>
              <w:ind w:left="60"/>
              <w:spacing w:after="0"/>
              <w:rPr>
                <w:sz w:val="20"/>
                <w:szCs w:val="20"/>
                <w:color w:val="auto"/>
              </w:rPr>
            </w:pPr>
            <w:r>
              <w:rPr>
                <w:rFonts w:ascii="Arial" w:cs="Arial" w:eastAsia="Arial" w:hAnsi="Arial"/>
                <w:sz w:val="14"/>
                <w:szCs w:val="14"/>
                <w:color w:val="auto"/>
              </w:rPr>
              <w:t>Mr. Servodidio</w:t>
            </w:r>
          </w:p>
        </w:tc>
        <w:tc>
          <w:tcPr>
            <w:tcW w:w="1480" w:type="dxa"/>
            <w:vAlign w:val="bottom"/>
          </w:tcPr>
          <w:p>
            <w:pPr>
              <w:ind w:left="660"/>
              <w:spacing w:after="0"/>
              <w:rPr>
                <w:sz w:val="20"/>
                <w:szCs w:val="20"/>
                <w:color w:val="auto"/>
              </w:rPr>
            </w:pPr>
            <w:r>
              <w:rPr>
                <w:rFonts w:ascii="Arial" w:cs="Arial" w:eastAsia="Arial" w:hAnsi="Arial"/>
                <w:sz w:val="14"/>
                <w:szCs w:val="14"/>
                <w:color w:val="auto"/>
              </w:rPr>
              <w:t>2018</w:t>
            </w:r>
          </w:p>
        </w:tc>
        <w:tc>
          <w:tcPr>
            <w:tcW w:w="15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12,953</w:t>
            </w:r>
          </w:p>
        </w:tc>
        <w:tc>
          <w:tcPr>
            <w:tcW w:w="1460" w:type="dxa"/>
            <w:vAlign w:val="bottom"/>
          </w:tcPr>
          <w:p>
            <w:pPr>
              <w:jc w:val="center"/>
              <w:ind w:right="28"/>
              <w:spacing w:after="0"/>
              <w:rPr>
                <w:sz w:val="20"/>
                <w:szCs w:val="20"/>
                <w:color w:val="auto"/>
              </w:rPr>
            </w:pPr>
            <w:r>
              <w:rPr>
                <w:rFonts w:ascii="Arial" w:cs="Arial" w:eastAsia="Arial" w:hAnsi="Arial"/>
                <w:sz w:val="14"/>
                <w:szCs w:val="14"/>
                <w:color w:val="auto"/>
              </w:rPr>
              <w:t>11,250</w:t>
            </w:r>
          </w:p>
        </w:tc>
        <w:tc>
          <w:tcPr>
            <w:tcW w:w="1380" w:type="dxa"/>
            <w:vAlign w:val="bottom"/>
          </w:tcPr>
          <w:p>
            <w:pPr>
              <w:jc w:val="right"/>
              <w:spacing w:after="0"/>
              <w:rPr>
                <w:sz w:val="20"/>
                <w:szCs w:val="20"/>
                <w:color w:val="auto"/>
              </w:rPr>
            </w:pPr>
            <w:r>
              <w:rPr>
                <w:rFonts w:ascii="Arial" w:cs="Arial" w:eastAsia="Arial" w:hAnsi="Arial"/>
                <w:sz w:val="14"/>
                <w:szCs w:val="14"/>
                <w:color w:val="auto"/>
              </w:rPr>
              <w:t>24,203</w:t>
            </w:r>
          </w:p>
        </w:tc>
      </w:tr>
      <w:tr>
        <w:trPr>
          <w:trHeight w:val="162"/>
        </w:trPr>
        <w:tc>
          <w:tcPr>
            <w:tcW w:w="4000" w:type="dxa"/>
            <w:vAlign w:val="bottom"/>
          </w:tcPr>
          <w:p>
            <w:pPr>
              <w:spacing w:after="0"/>
              <w:rPr>
                <w:sz w:val="14"/>
                <w:szCs w:val="14"/>
                <w:color w:val="auto"/>
              </w:rPr>
            </w:pPr>
          </w:p>
        </w:tc>
        <w:tc>
          <w:tcPr>
            <w:tcW w:w="1480" w:type="dxa"/>
            <w:vAlign w:val="bottom"/>
          </w:tcPr>
          <w:p>
            <w:pPr>
              <w:ind w:left="660"/>
              <w:spacing w:after="0"/>
              <w:rPr>
                <w:sz w:val="20"/>
                <w:szCs w:val="20"/>
                <w:color w:val="auto"/>
              </w:rPr>
            </w:pPr>
            <w:r>
              <w:rPr>
                <w:rFonts w:ascii="Arial" w:cs="Arial" w:eastAsia="Arial" w:hAnsi="Arial"/>
                <w:sz w:val="14"/>
                <w:szCs w:val="14"/>
                <w:color w:val="auto"/>
              </w:rPr>
              <w:t>2017</w:t>
            </w:r>
          </w:p>
        </w:tc>
        <w:tc>
          <w:tcPr>
            <w:tcW w:w="158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12,540</w:t>
            </w:r>
          </w:p>
        </w:tc>
        <w:tc>
          <w:tcPr>
            <w:tcW w:w="1460" w:type="dxa"/>
            <w:vAlign w:val="bottom"/>
          </w:tcPr>
          <w:p>
            <w:pPr>
              <w:jc w:val="center"/>
              <w:ind w:right="28"/>
              <w:spacing w:after="0"/>
              <w:rPr>
                <w:sz w:val="20"/>
                <w:szCs w:val="20"/>
                <w:color w:val="auto"/>
              </w:rPr>
            </w:pPr>
            <w:r>
              <w:rPr>
                <w:rFonts w:ascii="Arial" w:cs="Arial" w:eastAsia="Arial" w:hAnsi="Arial"/>
                <w:sz w:val="14"/>
                <w:szCs w:val="14"/>
                <w:color w:val="auto"/>
              </w:rPr>
              <w:t>11,250</w:t>
            </w:r>
          </w:p>
        </w:tc>
        <w:tc>
          <w:tcPr>
            <w:tcW w:w="1380" w:type="dxa"/>
            <w:vAlign w:val="bottom"/>
          </w:tcPr>
          <w:p>
            <w:pPr>
              <w:jc w:val="right"/>
              <w:spacing w:after="0"/>
              <w:rPr>
                <w:sz w:val="20"/>
                <w:szCs w:val="20"/>
                <w:color w:val="auto"/>
              </w:rPr>
            </w:pPr>
            <w:r>
              <w:rPr>
                <w:rFonts w:ascii="Arial" w:cs="Arial" w:eastAsia="Arial" w:hAnsi="Arial"/>
                <w:sz w:val="14"/>
                <w:szCs w:val="14"/>
                <w:color w:val="auto"/>
              </w:rPr>
              <w:t>27,640</w:t>
            </w:r>
          </w:p>
        </w:tc>
      </w:tr>
      <w:tr>
        <w:trPr>
          <w:trHeight w:val="157"/>
        </w:trPr>
        <w:tc>
          <w:tcPr>
            <w:tcW w:w="40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ind w:left="660"/>
              <w:spacing w:after="0" w:line="157" w:lineRule="exact"/>
              <w:rPr>
                <w:sz w:val="20"/>
                <w:szCs w:val="20"/>
                <w:color w:val="auto"/>
              </w:rPr>
            </w:pPr>
            <w:r>
              <w:rPr>
                <w:rFonts w:ascii="Arial" w:cs="Arial" w:eastAsia="Arial" w:hAnsi="Arial"/>
                <w:sz w:val="14"/>
                <w:szCs w:val="14"/>
                <w:color w:val="auto"/>
              </w:rPr>
              <w:t>2016</w:t>
            </w:r>
          </w:p>
        </w:tc>
        <w:tc>
          <w:tcPr>
            <w:tcW w:w="1580" w:type="dxa"/>
            <w:vAlign w:val="bottom"/>
            <w:tcBorders>
              <w:bottom w:val="single" w:sz="8" w:color="auto"/>
            </w:tcBorders>
          </w:tcPr>
          <w:p>
            <w:pPr>
              <w:jc w:val="center"/>
              <w:ind w:left="8"/>
              <w:spacing w:after="0" w:line="157" w:lineRule="exact"/>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12,018</w:t>
            </w:r>
          </w:p>
        </w:tc>
        <w:tc>
          <w:tcPr>
            <w:tcW w:w="1460" w:type="dxa"/>
            <w:vAlign w:val="bottom"/>
            <w:tcBorders>
              <w:bottom w:val="single" w:sz="8" w:color="auto"/>
            </w:tcBorders>
          </w:tcPr>
          <w:p>
            <w:pPr>
              <w:jc w:val="center"/>
              <w:ind w:right="28"/>
              <w:spacing w:after="0" w:line="157" w:lineRule="exact"/>
              <w:rPr>
                <w:sz w:val="20"/>
                <w:szCs w:val="20"/>
                <w:color w:val="auto"/>
              </w:rPr>
            </w:pPr>
            <w:r>
              <w:rPr>
                <w:rFonts w:ascii="Arial" w:cs="Arial" w:eastAsia="Arial" w:hAnsi="Arial"/>
                <w:sz w:val="14"/>
                <w:szCs w:val="14"/>
                <w:color w:val="auto"/>
              </w:rPr>
              <w:t>17,750</w:t>
            </w:r>
          </w:p>
        </w:tc>
        <w:tc>
          <w:tcPr>
            <w:tcW w:w="13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33,518</w:t>
            </w:r>
          </w:p>
        </w:tc>
      </w:tr>
      <w:tr>
        <w:trPr>
          <w:trHeight w:val="163"/>
        </w:trPr>
        <w:tc>
          <w:tcPr>
            <w:tcW w:w="400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Mr. Tucker</w:t>
            </w:r>
          </w:p>
        </w:tc>
        <w:tc>
          <w:tcPr>
            <w:tcW w:w="1480" w:type="dxa"/>
            <w:vAlign w:val="bottom"/>
            <w:tcBorders>
              <w:bottom w:val="single" w:sz="8" w:color="auto"/>
            </w:tcBorders>
            <w:shd w:val="clear" w:color="auto" w:fill="CCCCCC"/>
          </w:tcPr>
          <w:p>
            <w:pPr>
              <w:ind w:left="660"/>
              <w:spacing w:after="0" w:line="155" w:lineRule="exact"/>
              <w:rPr>
                <w:sz w:val="20"/>
                <w:szCs w:val="20"/>
                <w:color w:val="auto"/>
              </w:rPr>
            </w:pPr>
            <w:r>
              <w:rPr>
                <w:rFonts w:ascii="Arial" w:cs="Arial" w:eastAsia="Arial" w:hAnsi="Arial"/>
                <w:sz w:val="14"/>
                <w:szCs w:val="14"/>
                <w:color w:val="auto"/>
              </w:rPr>
              <w:t>2018</w:t>
            </w:r>
          </w:p>
        </w:tc>
        <w:tc>
          <w:tcPr>
            <w:tcW w:w="1580" w:type="dxa"/>
            <w:vAlign w:val="bottom"/>
            <w:tcBorders>
              <w:bottom w:val="single" w:sz="8" w:color="auto"/>
            </w:tcBorders>
            <w:shd w:val="clear" w:color="auto" w:fill="CCCCCC"/>
          </w:tcPr>
          <w:p>
            <w:pPr>
              <w:jc w:val="center"/>
              <w:ind w:left="8"/>
              <w:spacing w:after="0" w:line="155" w:lineRule="exact"/>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shd w:val="clear" w:color="auto" w:fill="CCCCCC"/>
          </w:tcPr>
          <w:p>
            <w:pPr>
              <w:jc w:val="center"/>
              <w:spacing w:after="0" w:line="155" w:lineRule="exact"/>
              <w:rPr>
                <w:sz w:val="20"/>
                <w:szCs w:val="20"/>
                <w:color w:val="auto"/>
              </w:rPr>
            </w:pPr>
            <w:r>
              <w:rPr>
                <w:rFonts w:ascii="Arial" w:cs="Arial" w:eastAsia="Arial" w:hAnsi="Arial"/>
                <w:sz w:val="14"/>
                <w:szCs w:val="14"/>
                <w:color w:val="auto"/>
              </w:rPr>
              <w:t>1,151</w:t>
            </w:r>
          </w:p>
        </w:tc>
        <w:tc>
          <w:tcPr>
            <w:tcW w:w="1460" w:type="dxa"/>
            <w:vAlign w:val="bottom"/>
            <w:tcBorders>
              <w:bottom w:val="single" w:sz="8" w:color="auto"/>
            </w:tcBorders>
            <w:shd w:val="clear" w:color="auto" w:fill="CCCCCC"/>
          </w:tcPr>
          <w:p>
            <w:pPr>
              <w:jc w:val="center"/>
              <w:ind w:right="28"/>
              <w:spacing w:after="0" w:line="155" w:lineRule="exact"/>
              <w:rPr>
                <w:sz w:val="20"/>
                <w:szCs w:val="20"/>
                <w:color w:val="auto"/>
              </w:rPr>
            </w:pPr>
            <w:r>
              <w:rPr>
                <w:rFonts w:ascii="Arial" w:cs="Arial" w:eastAsia="Arial" w:hAnsi="Arial"/>
                <w:sz w:val="14"/>
                <w:szCs w:val="14"/>
                <w:color w:val="auto"/>
              </w:rPr>
              <w:t>16,000</w:t>
            </w:r>
          </w:p>
        </w:tc>
        <w:tc>
          <w:tcPr>
            <w:tcW w:w="1380" w:type="dxa"/>
            <w:vAlign w:val="bottom"/>
            <w:tcBorders>
              <w:bottom w:val="single" w:sz="8" w:color="auto"/>
            </w:tcBorders>
            <w:shd w:val="clear" w:color="auto" w:fill="CCCCCC"/>
          </w:tcPr>
          <w:p>
            <w:pPr>
              <w:jc w:val="right"/>
              <w:spacing w:after="0" w:line="155" w:lineRule="exact"/>
              <w:rPr>
                <w:sz w:val="20"/>
                <w:szCs w:val="20"/>
                <w:color w:val="auto"/>
              </w:rPr>
            </w:pPr>
            <w:r>
              <w:rPr>
                <w:rFonts w:ascii="Arial" w:cs="Arial" w:eastAsia="Arial" w:hAnsi="Arial"/>
                <w:sz w:val="14"/>
                <w:szCs w:val="14"/>
                <w:color w:val="auto"/>
              </w:rPr>
              <w:t>17,151</w:t>
            </w:r>
          </w:p>
        </w:tc>
      </w:tr>
    </w:tbl>
    <w:p>
      <w:pPr>
        <w:spacing w:after="0" w:line="167" w:lineRule="exact"/>
        <w:rPr>
          <w:sz w:val="20"/>
          <w:szCs w:val="20"/>
          <w:color w:val="auto"/>
        </w:rPr>
      </w:pPr>
    </w:p>
    <w:p>
      <w:pPr>
        <w:jc w:val="both"/>
        <w:ind w:left="340" w:hanging="332"/>
        <w:spacing w:after="0" w:line="244"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Under our aircraft policy, our CEO has reasonable non-business access to leased jet services, subject to prevailing market practices. For our other NEOs, non-business access is subject to approval by our CEO in his sole discretion.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such as crew salaries, training, hangaring, insurance and services support are not included. Spouses of NEOs are occasionally additional passengers on business flights provided by our leased jet services. In such cases, there is no incremental cost to the Company, and as a result, no amount is reflected in the table.</w:t>
      </w:r>
    </w:p>
    <w:p>
      <w:pPr>
        <w:spacing w:after="0" w:line="15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Messrs. De Shon, Ferraro and Servodidio, includes actual costs we incurred for financial services, including tax return preparation, financial planning and estate planning. Amounts also include Company-paid premiums in connection with a group excess liability umbrella insurance policy, which for 2018 did not exceed $2,400 for any NEO.</w:t>
      </w:r>
    </w:p>
    <w:p>
      <w:pPr>
        <w:spacing w:after="0" w:line="14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or annual car allowance. For Mr. Servodidio, reflects an average £/$exchange rate for the vehicle use period. NEOs are eligible to participate in the Company’s employee auto insurance program and employee car lease program; however, no amounts are included for these programs as the Company does not incur any associated incremental cost.</w:t>
      </w:r>
    </w:p>
    <w:p>
      <w:pPr>
        <w:spacing w:after="0" w:line="145"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Messrs. De Shon and Ferraro, amounts include payments for annual physical examinations (annual costs for any NEO did not exceed $3,850).</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CEO Pay Ratio</w:t>
      </w:r>
    </w:p>
    <w:p>
      <w:pPr>
        <w:spacing w:after="0" w:line="24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2017, the Company reviewed a comparison of CEO pay to the pay of all its employees in 2017. The review included all employees employed by the Company as of October 1, 2017 and excluded 517, 293, 92, 8 and 609 of non-U.S. based employees in India, Brazil, Argentina, Monaco and China, respectively. We identified our median employee by (i) examining payroll records of each employee as previously described, whether employed on a full-time, part-time, seasonal or temporary basis, to calculate each employee’s gross earnings for a twelve-month period starting October 1, 2016 through September 30, 2017; (ii) ranking, by total amount of gross earnings, all employees except for our CEO from highest to lowest, resulting in a list of 29,083 employees; and (iii) selecting the employee ranked 14,542 on the list (the “Median Employee”).</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2018, our employee mix and compensation structure remained consistent with the prior year. As a result, we believe that there has not been a change in our employee population or compensation arrangements that would significantly change our pay ratio disclosure. Therefore, for 2018, we calculated total annual compensation for the Median Employee, using the same methodology used for our named executive officers as set forth in the Summary Compensation Table above. Total compensation for 2018 for our CEO was $8,427,166. Our Median Employee’s total compensation for 2018 was $30,132. The ratio of our CEO’s pay to the pay of our Median Employee for 2018 is 280 to 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Grants of Plan-Based Awards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0" w:type="dxa"/>
            <w:vAlign w:val="bottom"/>
          </w:tcPr>
          <w:p>
            <w:pPr>
              <w:spacing w:after="0"/>
              <w:rPr>
                <w:sz w:val="13"/>
                <w:szCs w:val="13"/>
                <w:color w:val="auto"/>
              </w:rPr>
            </w:pPr>
          </w:p>
        </w:tc>
        <w:tc>
          <w:tcPr>
            <w:tcW w:w="103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All</w:t>
            </w: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Grant</w:t>
            </w:r>
          </w:p>
        </w:tc>
      </w:tr>
      <w:tr>
        <w:trPr>
          <w:trHeight w:val="135"/>
        </w:trPr>
        <w:tc>
          <w:tcPr>
            <w:tcW w:w="950" w:type="dxa"/>
            <w:vAlign w:val="bottom"/>
          </w:tcPr>
          <w:p>
            <w:pPr>
              <w:spacing w:after="0"/>
              <w:rPr>
                <w:sz w:val="11"/>
                <w:szCs w:val="11"/>
                <w:color w:val="auto"/>
              </w:rPr>
            </w:pPr>
          </w:p>
        </w:tc>
        <w:tc>
          <w:tcPr>
            <w:tcW w:w="103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Other</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8"/>
              </w:rPr>
              <w:t>All Other</w:t>
            </w:r>
          </w:p>
        </w:tc>
        <w:tc>
          <w:tcPr>
            <w:tcW w:w="9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r>
      <w:tr>
        <w:trPr>
          <w:trHeight w:val="135"/>
        </w:trPr>
        <w:tc>
          <w:tcPr>
            <w:tcW w:w="950" w:type="dxa"/>
            <w:vAlign w:val="bottom"/>
          </w:tcPr>
          <w:p>
            <w:pPr>
              <w:spacing w:after="0"/>
              <w:rPr>
                <w:sz w:val="11"/>
                <w:szCs w:val="11"/>
                <w:color w:val="auto"/>
              </w:rPr>
            </w:pPr>
          </w:p>
        </w:tc>
        <w:tc>
          <w:tcPr>
            <w:tcW w:w="103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5"/>
              </w:rPr>
              <w:t>Stock</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rPr>
              <w:t>Option</w:t>
            </w: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Exercise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Fair</w:t>
            </w:r>
          </w:p>
        </w:tc>
      </w:tr>
      <w:tr>
        <w:trPr>
          <w:trHeight w:val="135"/>
        </w:trPr>
        <w:tc>
          <w:tcPr>
            <w:tcW w:w="950" w:type="dxa"/>
            <w:vAlign w:val="bottom"/>
          </w:tcPr>
          <w:p>
            <w:pPr>
              <w:spacing w:after="0"/>
              <w:rPr>
                <w:sz w:val="11"/>
                <w:szCs w:val="11"/>
                <w:color w:val="auto"/>
              </w:rPr>
            </w:pPr>
          </w:p>
        </w:tc>
        <w:tc>
          <w:tcPr>
            <w:tcW w:w="103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Awards</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Awards</w:t>
            </w: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or Base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r>
      <w:tr>
        <w:trPr>
          <w:trHeight w:val="135"/>
        </w:trPr>
        <w:tc>
          <w:tcPr>
            <w:tcW w:w="950" w:type="dxa"/>
            <w:vAlign w:val="bottom"/>
          </w:tcPr>
          <w:p>
            <w:pPr>
              <w:spacing w:after="0"/>
              <w:rPr>
                <w:sz w:val="11"/>
                <w:szCs w:val="11"/>
                <w:color w:val="auto"/>
              </w:rPr>
            </w:pPr>
          </w:p>
        </w:tc>
        <w:tc>
          <w:tcPr>
            <w:tcW w:w="103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Estimated Possible Payouts</w:t>
            </w:r>
          </w:p>
        </w:tc>
        <w:tc>
          <w:tcPr>
            <w:tcW w:w="24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Estimated Future Payouts</w:t>
            </w:r>
          </w:p>
        </w:tc>
        <w:tc>
          <w:tcPr>
            <w:tcW w:w="8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Number</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Number of</w:t>
            </w:r>
          </w:p>
        </w:tc>
        <w:tc>
          <w:tcPr>
            <w:tcW w:w="9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Price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r>
      <w:tr>
        <w:trPr>
          <w:trHeight w:val="135"/>
        </w:trPr>
        <w:tc>
          <w:tcPr>
            <w:tcW w:w="950" w:type="dxa"/>
            <w:vAlign w:val="bottom"/>
          </w:tcPr>
          <w:p>
            <w:pPr>
              <w:spacing w:after="0"/>
              <w:rPr>
                <w:sz w:val="11"/>
                <w:szCs w:val="11"/>
                <w:color w:val="auto"/>
              </w:rPr>
            </w:pPr>
          </w:p>
        </w:tc>
        <w:tc>
          <w:tcPr>
            <w:tcW w:w="103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6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Under Non-Equity Incentive</w:t>
            </w:r>
          </w:p>
        </w:tc>
        <w:tc>
          <w:tcPr>
            <w:tcW w:w="24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of Shares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9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Options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and</w:t>
            </w:r>
          </w:p>
        </w:tc>
      </w:tr>
      <w:tr>
        <w:trPr>
          <w:trHeight w:val="164"/>
        </w:trPr>
        <w:tc>
          <w:tcPr>
            <w:tcW w:w="950" w:type="dxa"/>
            <w:vAlign w:val="bottom"/>
          </w:tcPr>
          <w:p>
            <w:pPr>
              <w:spacing w:after="0"/>
              <w:rPr>
                <w:sz w:val="14"/>
                <w:szCs w:val="14"/>
                <w:color w:val="auto"/>
              </w:rPr>
            </w:pPr>
          </w:p>
        </w:tc>
        <w:tc>
          <w:tcPr>
            <w:tcW w:w="1030" w:type="dxa"/>
            <w:vAlign w:val="bottom"/>
          </w:tcPr>
          <w:p>
            <w:pPr>
              <w:spacing w:after="0"/>
              <w:rPr>
                <w:sz w:val="14"/>
                <w:szCs w:val="14"/>
                <w:color w:val="auto"/>
              </w:rPr>
            </w:pPr>
          </w:p>
        </w:tc>
        <w:tc>
          <w:tcPr>
            <w:tcW w:w="820" w:type="dxa"/>
            <w:vAlign w:val="bottom"/>
          </w:tcPr>
          <w:p>
            <w:pPr>
              <w:jc w:val="center"/>
              <w:ind w:right="117"/>
              <w:spacing w:after="0"/>
              <w:rPr>
                <w:sz w:val="20"/>
                <w:szCs w:val="20"/>
                <w:color w:val="auto"/>
              </w:rPr>
            </w:pPr>
            <w:r>
              <w:rPr>
                <w:rFonts w:ascii="Arial" w:cs="Arial" w:eastAsia="Arial" w:hAnsi="Arial"/>
                <w:sz w:val="13"/>
                <w:szCs w:val="13"/>
                <w:b w:val="1"/>
                <w:bCs w:val="1"/>
                <w:color w:val="auto"/>
                <w:w w:val="93"/>
              </w:rPr>
              <w:t>Grant/</w:t>
            </w:r>
          </w:p>
        </w:tc>
        <w:tc>
          <w:tcPr>
            <w:tcW w:w="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Plan Awards (a)</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gridSpan w:val="2"/>
          </w:tcPr>
          <w:p>
            <w:pPr>
              <w:jc w:val="center"/>
              <w:ind w:left="617"/>
              <w:spacing w:after="0"/>
              <w:rPr>
                <w:sz w:val="20"/>
                <w:szCs w:val="20"/>
                <w:color w:val="auto"/>
              </w:rPr>
            </w:pPr>
            <w:r>
              <w:rPr>
                <w:rFonts w:ascii="Arial" w:cs="Arial" w:eastAsia="Arial" w:hAnsi="Arial"/>
                <w:sz w:val="13"/>
                <w:szCs w:val="13"/>
                <w:b w:val="1"/>
                <w:bCs w:val="1"/>
                <w:color w:val="auto"/>
                <w:w w:val="97"/>
              </w:rPr>
              <w:t>Plan Awards (b)</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of Stock</w:t>
            </w:r>
          </w:p>
        </w:tc>
        <w:tc>
          <w:tcPr>
            <w:tcW w:w="90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Underlying</w:t>
            </w: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93"/>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r>
      <w:tr>
        <w:trPr>
          <w:trHeight w:val="113"/>
        </w:trPr>
        <w:tc>
          <w:tcPr>
            <w:tcW w:w="950" w:type="dxa"/>
            <w:vAlign w:val="bottom"/>
          </w:tcPr>
          <w:p>
            <w:pPr>
              <w:spacing w:after="0"/>
              <w:rPr>
                <w:sz w:val="9"/>
                <w:szCs w:val="9"/>
                <w:color w:val="auto"/>
              </w:rPr>
            </w:pPr>
          </w:p>
        </w:tc>
        <w:tc>
          <w:tcPr>
            <w:tcW w:w="1030" w:type="dxa"/>
            <w:vAlign w:val="bottom"/>
          </w:tcPr>
          <w:p>
            <w:pPr>
              <w:spacing w:after="0"/>
              <w:rPr>
                <w:sz w:val="9"/>
                <w:szCs w:val="9"/>
                <w:color w:val="auto"/>
              </w:rPr>
            </w:pPr>
          </w:p>
        </w:tc>
        <w:tc>
          <w:tcPr>
            <w:tcW w:w="820" w:type="dxa"/>
            <w:vAlign w:val="bottom"/>
          </w:tcPr>
          <w:p>
            <w:pPr>
              <w:jc w:val="center"/>
              <w:ind w:right="117"/>
              <w:spacing w:after="0" w:line="113" w:lineRule="exact"/>
              <w:rPr>
                <w:sz w:val="20"/>
                <w:szCs w:val="20"/>
                <w:color w:val="auto"/>
              </w:rPr>
            </w:pPr>
            <w:r>
              <w:rPr>
                <w:rFonts w:ascii="Arial" w:cs="Arial" w:eastAsia="Arial" w:hAnsi="Arial"/>
                <w:sz w:val="13"/>
                <w:szCs w:val="13"/>
                <w:b w:val="1"/>
                <w:bCs w:val="1"/>
                <w:color w:val="auto"/>
                <w:w w:val="99"/>
              </w:rPr>
              <w:t>Approval</w:t>
            </w:r>
          </w:p>
        </w:tc>
        <w:tc>
          <w:tcPr>
            <w:tcW w:w="780" w:type="dxa"/>
            <w:vAlign w:val="bottom"/>
          </w:tcPr>
          <w:p>
            <w:pPr>
              <w:jc w:val="right"/>
              <w:ind w:right="37"/>
              <w:spacing w:after="0" w:line="113" w:lineRule="exact"/>
              <w:rPr>
                <w:sz w:val="20"/>
                <w:szCs w:val="20"/>
                <w:color w:val="auto"/>
              </w:rPr>
            </w:pPr>
            <w:r>
              <w:rPr>
                <w:rFonts w:ascii="Arial" w:cs="Arial" w:eastAsia="Arial" w:hAnsi="Arial"/>
                <w:sz w:val="13"/>
                <w:szCs w:val="13"/>
                <w:b w:val="1"/>
                <w:bCs w:val="1"/>
                <w:color w:val="auto"/>
              </w:rPr>
              <w:t>Threshold</w:t>
            </w:r>
          </w:p>
        </w:tc>
        <w:tc>
          <w:tcPr>
            <w:tcW w:w="10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Target</w:t>
            </w:r>
          </w:p>
        </w:tc>
        <w:tc>
          <w:tcPr>
            <w:tcW w:w="760" w:type="dxa"/>
            <w:vAlign w:val="bottom"/>
          </w:tcPr>
          <w:p>
            <w:pPr>
              <w:jc w:val="right"/>
              <w:ind w:right="37"/>
              <w:spacing w:after="0" w:line="113"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9"/>
                <w:szCs w:val="9"/>
                <w:color w:val="auto"/>
              </w:rPr>
            </w:pPr>
          </w:p>
        </w:tc>
        <w:tc>
          <w:tcPr>
            <w:tcW w:w="920" w:type="dxa"/>
            <w:vAlign w:val="bottom"/>
          </w:tcPr>
          <w:p>
            <w:pPr>
              <w:jc w:val="right"/>
              <w:ind w:right="157"/>
              <w:spacing w:after="0" w:line="113" w:lineRule="exact"/>
              <w:rPr>
                <w:sz w:val="20"/>
                <w:szCs w:val="20"/>
                <w:color w:val="auto"/>
              </w:rPr>
            </w:pPr>
            <w:r>
              <w:rPr>
                <w:rFonts w:ascii="Arial" w:cs="Arial" w:eastAsia="Arial" w:hAnsi="Arial"/>
                <w:sz w:val="13"/>
                <w:szCs w:val="13"/>
                <w:b w:val="1"/>
                <w:bCs w:val="1"/>
                <w:color w:val="auto"/>
              </w:rPr>
              <w:t>Threshold</w:t>
            </w:r>
          </w:p>
        </w:tc>
        <w:tc>
          <w:tcPr>
            <w:tcW w:w="760" w:type="dxa"/>
            <w:vAlign w:val="bottom"/>
          </w:tcPr>
          <w:p>
            <w:pPr>
              <w:jc w:val="right"/>
              <w:ind w:right="197"/>
              <w:spacing w:after="0" w:line="113" w:lineRule="exact"/>
              <w:rPr>
                <w:sz w:val="20"/>
                <w:szCs w:val="20"/>
                <w:color w:val="auto"/>
              </w:rPr>
            </w:pPr>
            <w:r>
              <w:rPr>
                <w:rFonts w:ascii="Arial" w:cs="Arial" w:eastAsia="Arial" w:hAnsi="Arial"/>
                <w:sz w:val="13"/>
                <w:szCs w:val="13"/>
                <w:b w:val="1"/>
                <w:bCs w:val="1"/>
                <w:color w:val="auto"/>
              </w:rPr>
              <w:t>Target</w:t>
            </w:r>
          </w:p>
        </w:tc>
        <w:tc>
          <w:tcPr>
            <w:tcW w:w="680" w:type="dxa"/>
            <w:vAlign w:val="bottom"/>
          </w:tcPr>
          <w:p>
            <w:pPr>
              <w:jc w:val="right"/>
              <w:spacing w:after="0" w:line="113" w:lineRule="exact"/>
              <w:rPr>
                <w:sz w:val="20"/>
                <w:szCs w:val="20"/>
                <w:color w:val="auto"/>
              </w:rPr>
            </w:pPr>
            <w:r>
              <w:rPr>
                <w:rFonts w:ascii="Arial" w:cs="Arial" w:eastAsia="Arial" w:hAnsi="Arial"/>
                <w:sz w:val="13"/>
                <w:szCs w:val="13"/>
                <w:b w:val="1"/>
                <w:bCs w:val="1"/>
                <w:color w:val="auto"/>
                <w:w w:val="99"/>
              </w:rPr>
              <w:t>Maximum</w:t>
            </w:r>
          </w:p>
        </w:tc>
        <w:tc>
          <w:tcPr>
            <w:tcW w:w="100" w:type="dxa"/>
            <w:vAlign w:val="bottom"/>
          </w:tcPr>
          <w:p>
            <w:pPr>
              <w:spacing w:after="0"/>
              <w:rPr>
                <w:sz w:val="9"/>
                <w:szCs w:val="9"/>
                <w:color w:val="auto"/>
              </w:rPr>
            </w:pPr>
          </w:p>
        </w:tc>
        <w:tc>
          <w:tcPr>
            <w:tcW w:w="880" w:type="dxa"/>
            <w:vAlign w:val="bottom"/>
          </w:tcPr>
          <w:p>
            <w:pPr>
              <w:jc w:val="center"/>
              <w:ind w:right="17"/>
              <w:spacing w:after="0" w:line="113" w:lineRule="exact"/>
              <w:rPr>
                <w:sz w:val="20"/>
                <w:szCs w:val="20"/>
                <w:color w:val="auto"/>
              </w:rPr>
            </w:pPr>
            <w:r>
              <w:rPr>
                <w:rFonts w:ascii="Arial" w:cs="Arial" w:eastAsia="Arial" w:hAnsi="Arial"/>
                <w:sz w:val="13"/>
                <w:szCs w:val="13"/>
                <w:b w:val="1"/>
                <w:bCs w:val="1"/>
                <w:color w:val="auto"/>
                <w:w w:val="97"/>
              </w:rPr>
              <w:t>or Units</w:t>
            </w:r>
          </w:p>
        </w:tc>
        <w:tc>
          <w:tcPr>
            <w:tcW w:w="900" w:type="dxa"/>
            <w:vAlign w:val="bottom"/>
          </w:tcPr>
          <w:p>
            <w:pPr>
              <w:jc w:val="center"/>
              <w:ind w:right="17"/>
              <w:spacing w:after="0" w:line="113" w:lineRule="exact"/>
              <w:rPr>
                <w:sz w:val="20"/>
                <w:szCs w:val="20"/>
                <w:color w:val="auto"/>
              </w:rPr>
            </w:pPr>
            <w:r>
              <w:rPr>
                <w:rFonts w:ascii="Arial" w:cs="Arial" w:eastAsia="Arial" w:hAnsi="Arial"/>
                <w:sz w:val="13"/>
                <w:szCs w:val="13"/>
                <w:b w:val="1"/>
                <w:bCs w:val="1"/>
                <w:color w:val="auto"/>
                <w:w w:val="93"/>
              </w:rPr>
              <w:t>Options</w:t>
            </w:r>
          </w:p>
        </w:tc>
        <w:tc>
          <w:tcPr>
            <w:tcW w:w="940" w:type="dxa"/>
            <w:vAlign w:val="bottom"/>
          </w:tcPr>
          <w:p>
            <w:pPr>
              <w:jc w:val="center"/>
              <w:ind w:right="57"/>
              <w:spacing w:after="0" w:line="113" w:lineRule="exact"/>
              <w:rPr>
                <w:sz w:val="20"/>
                <w:szCs w:val="20"/>
                <w:color w:val="auto"/>
              </w:rPr>
            </w:pPr>
            <w:r>
              <w:rPr>
                <w:rFonts w:ascii="Arial" w:cs="Arial" w:eastAsia="Arial" w:hAnsi="Arial"/>
                <w:sz w:val="13"/>
                <w:szCs w:val="13"/>
                <w:b w:val="1"/>
                <w:bCs w:val="1"/>
                <w:color w:val="auto"/>
                <w:w w:val="95"/>
              </w:rPr>
              <w:t>($ per</w:t>
            </w:r>
          </w:p>
        </w:tc>
        <w:tc>
          <w:tcPr>
            <w:tcW w:w="7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3"/>
              </w:rPr>
              <w:t>Awards</w:t>
            </w:r>
          </w:p>
        </w:tc>
      </w:tr>
      <w:tr>
        <w:trPr>
          <w:trHeight w:val="164"/>
        </w:trPr>
        <w:tc>
          <w:tcPr>
            <w:tcW w:w="95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w:t>
            </w:r>
          </w:p>
        </w:tc>
        <w:tc>
          <w:tcPr>
            <w:tcW w:w="1030" w:type="dxa"/>
            <w:vAlign w:val="bottom"/>
            <w:tcBorders>
              <w:bottom w:val="single" w:sz="8" w:color="auto"/>
            </w:tcBorders>
          </w:tcPr>
          <w:p>
            <w:pPr>
              <w:ind w:left="70"/>
              <w:spacing w:after="0"/>
              <w:rPr>
                <w:sz w:val="20"/>
                <w:szCs w:val="20"/>
                <w:color w:val="auto"/>
              </w:rPr>
            </w:pPr>
            <w:r>
              <w:rPr>
                <w:rFonts w:ascii="Arial" w:cs="Arial" w:eastAsia="Arial" w:hAnsi="Arial"/>
                <w:sz w:val="13"/>
                <w:szCs w:val="13"/>
                <w:b w:val="1"/>
                <w:bCs w:val="1"/>
                <w:color w:val="auto"/>
              </w:rPr>
              <w:t>Award Type</w:t>
            </w:r>
          </w:p>
        </w:tc>
        <w:tc>
          <w:tcPr>
            <w:tcW w:w="82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9"/>
              </w:rPr>
              <w:t>Date</w:t>
            </w: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(#)(c)</w:t>
            </w: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w:t>
            </w: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share)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($)(d)</w:t>
            </w:r>
          </w:p>
        </w:tc>
      </w:tr>
      <w:tr>
        <w:trPr>
          <w:trHeight w:val="129"/>
        </w:trPr>
        <w:tc>
          <w:tcPr>
            <w:tcW w:w="950" w:type="dxa"/>
            <w:vAlign w:val="bottom"/>
            <w:shd w:val="clear" w:color="auto" w:fill="CCCCCC"/>
          </w:tcPr>
          <w:p>
            <w:pPr>
              <w:ind w:left="60"/>
              <w:spacing w:after="0" w:line="129" w:lineRule="exact"/>
              <w:rPr>
                <w:sz w:val="20"/>
                <w:szCs w:val="20"/>
                <w:color w:val="auto"/>
              </w:rPr>
            </w:pPr>
            <w:r>
              <w:rPr>
                <w:rFonts w:ascii="Arial" w:cs="Arial" w:eastAsia="Arial" w:hAnsi="Arial"/>
                <w:sz w:val="13"/>
                <w:szCs w:val="13"/>
                <w:color w:val="auto"/>
              </w:rPr>
              <w:t>Mr. De Shon</w:t>
            </w:r>
          </w:p>
        </w:tc>
        <w:tc>
          <w:tcPr>
            <w:tcW w:w="1030" w:type="dxa"/>
            <w:vAlign w:val="bottom"/>
            <w:shd w:val="clear" w:color="auto" w:fill="CCCCCC"/>
          </w:tcPr>
          <w:p>
            <w:pPr>
              <w:ind w:left="50"/>
              <w:spacing w:after="0" w:line="129" w:lineRule="exact"/>
              <w:rPr>
                <w:sz w:val="20"/>
                <w:szCs w:val="20"/>
                <w:color w:val="auto"/>
              </w:rPr>
            </w:pPr>
            <w:r>
              <w:rPr>
                <w:rFonts w:ascii="Arial" w:cs="Arial" w:eastAsia="Arial" w:hAnsi="Arial"/>
                <w:sz w:val="13"/>
                <w:szCs w:val="13"/>
                <w:color w:val="auto"/>
                <w:w w:val="99"/>
              </w:rPr>
              <w:t>Annual Incentive</w:t>
            </w:r>
          </w:p>
        </w:tc>
        <w:tc>
          <w:tcPr>
            <w:tcW w:w="820" w:type="dxa"/>
            <w:vAlign w:val="bottom"/>
            <w:shd w:val="clear" w:color="auto" w:fill="CCCCCC"/>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line="129" w:lineRule="exact"/>
              <w:rPr>
                <w:sz w:val="20"/>
                <w:szCs w:val="20"/>
                <w:color w:val="auto"/>
              </w:rPr>
            </w:pPr>
            <w:r>
              <w:rPr>
                <w:rFonts w:ascii="Arial" w:cs="Arial" w:eastAsia="Arial" w:hAnsi="Arial"/>
                <w:sz w:val="13"/>
                <w:szCs w:val="13"/>
                <w:color w:val="auto"/>
              </w:rPr>
              <w:t>412,500</w:t>
            </w:r>
          </w:p>
        </w:tc>
        <w:tc>
          <w:tcPr>
            <w:tcW w:w="1020" w:type="dxa"/>
            <w:vAlign w:val="bottom"/>
            <w:shd w:val="clear" w:color="auto" w:fill="CCCCCC"/>
          </w:tcPr>
          <w:p>
            <w:pPr>
              <w:jc w:val="right"/>
              <w:ind w:right="77"/>
              <w:spacing w:after="0" w:line="129" w:lineRule="exact"/>
              <w:rPr>
                <w:sz w:val="20"/>
                <w:szCs w:val="20"/>
                <w:color w:val="auto"/>
              </w:rPr>
            </w:pPr>
            <w:r>
              <w:rPr>
                <w:rFonts w:ascii="Arial" w:cs="Arial" w:eastAsia="Arial" w:hAnsi="Arial"/>
                <w:sz w:val="13"/>
                <w:szCs w:val="13"/>
                <w:color w:val="auto"/>
              </w:rPr>
              <w:t>1,650,000</w:t>
            </w:r>
          </w:p>
        </w:tc>
        <w:tc>
          <w:tcPr>
            <w:tcW w:w="860" w:type="dxa"/>
            <w:vAlign w:val="bottom"/>
            <w:gridSpan w:val="2"/>
            <w:shd w:val="clear" w:color="auto" w:fill="CCCCCC"/>
          </w:tcPr>
          <w:p>
            <w:pPr>
              <w:jc w:val="right"/>
              <w:ind w:right="100"/>
              <w:spacing w:after="0" w:line="129" w:lineRule="exact"/>
              <w:rPr>
                <w:sz w:val="20"/>
                <w:szCs w:val="20"/>
                <w:color w:val="auto"/>
              </w:rPr>
            </w:pPr>
            <w:r>
              <w:rPr>
                <w:rFonts w:ascii="Arial" w:cs="Arial" w:eastAsia="Arial" w:hAnsi="Arial"/>
                <w:sz w:val="13"/>
                <w:szCs w:val="13"/>
                <w:color w:val="auto"/>
              </w:rPr>
              <w:t>3,300,000</w:t>
            </w:r>
          </w:p>
        </w:tc>
        <w:tc>
          <w:tcPr>
            <w:tcW w:w="9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88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r>
      <w:tr>
        <w:trPr>
          <w:trHeight w:val="135"/>
        </w:trPr>
        <w:tc>
          <w:tcPr>
            <w:tcW w:w="950" w:type="dxa"/>
            <w:vAlign w:val="bottom"/>
            <w:shd w:val="clear" w:color="auto" w:fill="CCCCCC"/>
          </w:tcPr>
          <w:p>
            <w:pPr>
              <w:spacing w:after="0"/>
              <w:rPr>
                <w:sz w:val="11"/>
                <w:szCs w:val="11"/>
                <w:color w:val="auto"/>
              </w:rPr>
            </w:pPr>
          </w:p>
        </w:tc>
        <w:tc>
          <w:tcPr>
            <w:tcW w:w="1030" w:type="dxa"/>
            <w:vAlign w:val="bottom"/>
            <w:shd w:val="clear" w:color="auto" w:fill="CCCCCC"/>
          </w:tcPr>
          <w:p>
            <w:pPr>
              <w:ind w:left="50"/>
              <w:spacing w:after="0" w:line="135" w:lineRule="exact"/>
              <w:rPr>
                <w:sz w:val="20"/>
                <w:szCs w:val="20"/>
                <w:color w:val="auto"/>
              </w:rPr>
            </w:pPr>
            <w:r>
              <w:rPr>
                <w:rFonts w:ascii="Arial" w:cs="Arial" w:eastAsia="Arial" w:hAnsi="Arial"/>
                <w:sz w:val="13"/>
                <w:szCs w:val="13"/>
                <w:color w:val="auto"/>
              </w:rPr>
              <w:t>RSU</w:t>
            </w:r>
          </w:p>
        </w:tc>
        <w:tc>
          <w:tcPr>
            <w:tcW w:w="820" w:type="dxa"/>
            <w:vAlign w:val="bottom"/>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rPr>
              <w:t>3/15/2018</w:t>
            </w:r>
          </w:p>
        </w:tc>
        <w:tc>
          <w:tcPr>
            <w:tcW w:w="780" w:type="dxa"/>
            <w:vAlign w:val="bottom"/>
            <w:shd w:val="clear" w:color="auto" w:fill="CCCCCC"/>
          </w:tcPr>
          <w:p>
            <w:pPr>
              <w:spacing w:after="0"/>
              <w:rPr>
                <w:sz w:val="11"/>
                <w:szCs w:val="11"/>
                <w:color w:val="auto"/>
              </w:rPr>
            </w:pPr>
          </w:p>
        </w:tc>
        <w:tc>
          <w:tcPr>
            <w:tcW w:w="10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9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880" w:type="dxa"/>
            <w:vAlign w:val="bottom"/>
            <w:shd w:val="clear" w:color="auto" w:fill="CCCCCC"/>
          </w:tcPr>
          <w:p>
            <w:pPr>
              <w:jc w:val="right"/>
              <w:ind w:right="37"/>
              <w:spacing w:after="0" w:line="135" w:lineRule="exact"/>
              <w:rPr>
                <w:sz w:val="20"/>
                <w:szCs w:val="20"/>
                <w:color w:val="auto"/>
              </w:rPr>
            </w:pPr>
            <w:r>
              <w:rPr>
                <w:rFonts w:ascii="Arial" w:cs="Arial" w:eastAsia="Arial" w:hAnsi="Arial"/>
                <w:sz w:val="13"/>
                <w:szCs w:val="13"/>
                <w:color w:val="auto"/>
              </w:rPr>
              <w:t>45,156</w:t>
            </w:r>
          </w:p>
        </w:tc>
        <w:tc>
          <w:tcPr>
            <w:tcW w:w="900" w:type="dxa"/>
            <w:vAlign w:val="bottom"/>
            <w:shd w:val="clear" w:color="auto" w:fill="CCCCCC"/>
          </w:tcPr>
          <w:p>
            <w:pPr>
              <w:jc w:val="center"/>
              <w:ind w:right="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CCCC"/>
          </w:tcPr>
          <w:p>
            <w:pPr>
              <w:ind w:left="6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2,200,000</w:t>
            </w:r>
          </w:p>
        </w:tc>
      </w:tr>
      <w:tr>
        <w:trPr>
          <w:trHeight w:val="141"/>
        </w:trPr>
        <w:tc>
          <w:tcPr>
            <w:tcW w:w="950" w:type="dxa"/>
            <w:vAlign w:val="bottom"/>
            <w:tcBorders>
              <w:bottom w:val="single" w:sz="8" w:color="auto"/>
            </w:tcBorders>
            <w:shd w:val="clear" w:color="auto" w:fill="CCCCCC"/>
          </w:tcPr>
          <w:p>
            <w:pPr>
              <w:spacing w:after="0"/>
              <w:rPr>
                <w:sz w:val="12"/>
                <w:szCs w:val="12"/>
                <w:color w:val="auto"/>
              </w:rPr>
            </w:pPr>
          </w:p>
        </w:tc>
        <w:tc>
          <w:tcPr>
            <w:tcW w:w="1030" w:type="dxa"/>
            <w:vAlign w:val="bottom"/>
            <w:tcBorders>
              <w:bottom w:val="single" w:sz="8" w:color="auto"/>
            </w:tcBorders>
            <w:shd w:val="clear" w:color="auto" w:fill="CCCCCC"/>
          </w:tcPr>
          <w:p>
            <w:pPr>
              <w:ind w:left="50"/>
              <w:spacing w:after="0" w:line="141" w:lineRule="exact"/>
              <w:rPr>
                <w:sz w:val="20"/>
                <w:szCs w:val="20"/>
                <w:color w:val="auto"/>
              </w:rPr>
            </w:pPr>
            <w:r>
              <w:rPr>
                <w:rFonts w:ascii="Arial" w:cs="Arial" w:eastAsia="Arial" w:hAnsi="Arial"/>
                <w:sz w:val="13"/>
                <w:szCs w:val="13"/>
                <w:color w:val="auto"/>
              </w:rPr>
              <w:t>PSU</w:t>
            </w:r>
          </w:p>
        </w:tc>
        <w:tc>
          <w:tcPr>
            <w:tcW w:w="820" w:type="dxa"/>
            <w:vAlign w:val="bottom"/>
            <w:tcBorders>
              <w:bottom w:val="single" w:sz="8" w:color="auto"/>
            </w:tcBorders>
            <w:shd w:val="clear" w:color="auto" w:fill="CCCCCC"/>
          </w:tcPr>
          <w:p>
            <w:pPr>
              <w:jc w:val="right"/>
              <w:ind w:right="57"/>
              <w:spacing w:after="0" w:line="141" w:lineRule="exact"/>
              <w:rPr>
                <w:sz w:val="20"/>
                <w:szCs w:val="20"/>
                <w:color w:val="auto"/>
              </w:rPr>
            </w:pPr>
            <w:r>
              <w:rPr>
                <w:rFonts w:ascii="Arial" w:cs="Arial" w:eastAsia="Arial" w:hAnsi="Arial"/>
                <w:sz w:val="13"/>
                <w:szCs w:val="13"/>
                <w:color w:val="auto"/>
              </w:rPr>
              <w:t>3/15/2018</w:t>
            </w:r>
          </w:p>
        </w:tc>
        <w:tc>
          <w:tcPr>
            <w:tcW w:w="780" w:type="dxa"/>
            <w:vAlign w:val="bottom"/>
            <w:tcBorders>
              <w:bottom w:val="single" w:sz="8" w:color="auto"/>
            </w:tcBorders>
            <w:shd w:val="clear" w:color="auto" w:fill="CCCCCC"/>
          </w:tcPr>
          <w:p>
            <w:pPr>
              <w:spacing w:after="0"/>
              <w:rPr>
                <w:sz w:val="12"/>
                <w:szCs w:val="12"/>
                <w:color w:val="auto"/>
              </w:rPr>
            </w:pPr>
          </w:p>
        </w:tc>
        <w:tc>
          <w:tcPr>
            <w:tcW w:w="1020" w:type="dxa"/>
            <w:vAlign w:val="bottom"/>
            <w:tcBorders>
              <w:bottom w:val="single" w:sz="8" w:color="auto"/>
            </w:tcBorders>
            <w:shd w:val="clear" w:color="auto" w:fill="CCCCCC"/>
          </w:tcPr>
          <w:p>
            <w:pPr>
              <w:spacing w:after="0"/>
              <w:rPr>
                <w:sz w:val="12"/>
                <w:szCs w:val="12"/>
                <w:color w:val="auto"/>
              </w:rPr>
            </w:pPr>
          </w:p>
        </w:tc>
        <w:tc>
          <w:tcPr>
            <w:tcW w:w="760" w:type="dxa"/>
            <w:vAlign w:val="bottom"/>
            <w:tcBorders>
              <w:bottom w:val="single" w:sz="8" w:color="auto"/>
            </w:tcBorders>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920" w:type="dxa"/>
            <w:vAlign w:val="bottom"/>
            <w:tcBorders>
              <w:bottom w:val="single" w:sz="8" w:color="auto"/>
            </w:tcBorders>
            <w:shd w:val="clear" w:color="auto" w:fill="CCCCCC"/>
          </w:tcPr>
          <w:p>
            <w:pPr>
              <w:jc w:val="right"/>
              <w:ind w:right="57"/>
              <w:spacing w:after="0" w:line="141" w:lineRule="exact"/>
              <w:rPr>
                <w:sz w:val="20"/>
                <w:szCs w:val="20"/>
                <w:color w:val="auto"/>
              </w:rPr>
            </w:pPr>
            <w:r>
              <w:rPr>
                <w:rFonts w:ascii="Arial" w:cs="Arial" w:eastAsia="Arial" w:hAnsi="Arial"/>
                <w:sz w:val="13"/>
                <w:szCs w:val="13"/>
                <w:color w:val="auto"/>
              </w:rPr>
              <w:t>33,867</w:t>
            </w:r>
          </w:p>
        </w:tc>
        <w:tc>
          <w:tcPr>
            <w:tcW w:w="760" w:type="dxa"/>
            <w:vAlign w:val="bottom"/>
            <w:tcBorders>
              <w:bottom w:val="single" w:sz="8" w:color="auto"/>
            </w:tcBorders>
            <w:shd w:val="clear" w:color="auto" w:fill="CCCCCC"/>
          </w:tcPr>
          <w:p>
            <w:pPr>
              <w:jc w:val="right"/>
              <w:ind w:right="37"/>
              <w:spacing w:after="0" w:line="141" w:lineRule="exact"/>
              <w:rPr>
                <w:sz w:val="20"/>
                <w:szCs w:val="20"/>
                <w:color w:val="auto"/>
              </w:rPr>
            </w:pPr>
            <w:r>
              <w:rPr>
                <w:rFonts w:ascii="Arial" w:cs="Arial" w:eastAsia="Arial" w:hAnsi="Arial"/>
                <w:sz w:val="13"/>
                <w:szCs w:val="13"/>
                <w:color w:val="auto"/>
              </w:rPr>
              <w:t>67,734</w:t>
            </w:r>
          </w:p>
        </w:tc>
        <w:tc>
          <w:tcPr>
            <w:tcW w:w="68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135,468</w:t>
            </w:r>
          </w:p>
        </w:tc>
        <w:tc>
          <w:tcPr>
            <w:tcW w:w="100" w:type="dxa"/>
            <w:vAlign w:val="bottom"/>
            <w:tcBorders>
              <w:bottom w:val="single" w:sz="8" w:color="auto"/>
            </w:tcBorders>
            <w:shd w:val="clear" w:color="auto" w:fill="CCCCCC"/>
          </w:tcPr>
          <w:p>
            <w:pPr>
              <w:spacing w:after="0"/>
              <w:rPr>
                <w:sz w:val="12"/>
                <w:szCs w:val="12"/>
                <w:color w:val="auto"/>
              </w:rPr>
            </w:pPr>
          </w:p>
        </w:tc>
        <w:tc>
          <w:tcPr>
            <w:tcW w:w="88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940" w:type="dxa"/>
            <w:vAlign w:val="bottom"/>
            <w:tcBorders>
              <w:bottom w:val="single" w:sz="8" w:color="auto"/>
            </w:tcBorders>
            <w:shd w:val="clear" w:color="auto" w:fill="CCCCCC"/>
          </w:tcPr>
          <w:p>
            <w:pPr>
              <w:spacing w:after="0"/>
              <w:rPr>
                <w:sz w:val="12"/>
                <w:szCs w:val="12"/>
                <w:color w:val="auto"/>
              </w:rPr>
            </w:pPr>
          </w:p>
        </w:tc>
        <w:tc>
          <w:tcPr>
            <w:tcW w:w="78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3,300,000</w:t>
            </w:r>
          </w:p>
        </w:tc>
      </w:tr>
      <w:tr>
        <w:trPr>
          <w:trHeight w:val="123"/>
        </w:trPr>
        <w:tc>
          <w:tcPr>
            <w:tcW w:w="950" w:type="dxa"/>
            <w:vAlign w:val="bottom"/>
          </w:tcPr>
          <w:p>
            <w:pPr>
              <w:spacing w:after="0"/>
              <w:rPr>
                <w:sz w:val="10"/>
                <w:szCs w:val="10"/>
                <w:color w:val="auto"/>
              </w:rPr>
            </w:pPr>
          </w:p>
        </w:tc>
        <w:tc>
          <w:tcPr>
            <w:tcW w:w="1030" w:type="dxa"/>
            <w:vAlign w:val="bottom"/>
          </w:tcPr>
          <w:p>
            <w:pPr>
              <w:ind w:left="50"/>
              <w:spacing w:after="0" w:line="123" w:lineRule="exact"/>
              <w:rPr>
                <w:sz w:val="20"/>
                <w:szCs w:val="20"/>
                <w:color w:val="auto"/>
              </w:rPr>
            </w:pPr>
            <w:r>
              <w:rPr>
                <w:rFonts w:ascii="Arial" w:cs="Arial" w:eastAsia="Arial" w:hAnsi="Arial"/>
                <w:sz w:val="13"/>
                <w:szCs w:val="13"/>
                <w:color w:val="auto"/>
              </w:rPr>
              <w:t>Annual</w:t>
            </w: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1"/>
        </w:trPr>
        <w:tc>
          <w:tcPr>
            <w:tcW w:w="950" w:type="dxa"/>
            <w:vAlign w:val="bottom"/>
            <w:tcBorders>
              <w:bottom w:val="single" w:sz="8" w:color="auto"/>
            </w:tcBorders>
          </w:tcPr>
          <w:p>
            <w:pPr>
              <w:ind w:left="60"/>
              <w:spacing w:after="0" w:line="141" w:lineRule="exact"/>
              <w:rPr>
                <w:sz w:val="20"/>
                <w:szCs w:val="20"/>
                <w:color w:val="auto"/>
              </w:rPr>
            </w:pPr>
            <w:r>
              <w:rPr>
                <w:rFonts w:ascii="Arial" w:cs="Arial" w:eastAsia="Arial" w:hAnsi="Arial"/>
                <w:sz w:val="13"/>
                <w:szCs w:val="13"/>
                <w:color w:val="auto"/>
              </w:rPr>
              <w:t>Mr. Smith</w:t>
            </w:r>
          </w:p>
        </w:tc>
        <w:tc>
          <w:tcPr>
            <w:tcW w:w="1030" w:type="dxa"/>
            <w:vAlign w:val="bottom"/>
            <w:tcBorders>
              <w:bottom w:val="single" w:sz="8" w:color="auto"/>
            </w:tcBorders>
          </w:tcPr>
          <w:p>
            <w:pPr>
              <w:ind w:left="50"/>
              <w:spacing w:after="0" w:line="141" w:lineRule="exact"/>
              <w:rPr>
                <w:sz w:val="20"/>
                <w:szCs w:val="20"/>
                <w:color w:val="auto"/>
              </w:rPr>
            </w:pPr>
            <w:r>
              <w:rPr>
                <w:rFonts w:ascii="Arial" w:cs="Arial" w:eastAsia="Arial" w:hAnsi="Arial"/>
                <w:sz w:val="13"/>
                <w:szCs w:val="13"/>
                <w:color w:val="auto"/>
              </w:rPr>
              <w:t>Incentive</w:t>
            </w:r>
          </w:p>
        </w:tc>
        <w:tc>
          <w:tcPr>
            <w:tcW w:w="82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115,000</w:t>
            </w:r>
          </w:p>
        </w:tc>
        <w:tc>
          <w:tcPr>
            <w:tcW w:w="1020" w:type="dxa"/>
            <w:vAlign w:val="bottom"/>
            <w:tcBorders>
              <w:bottom w:val="single" w:sz="8" w:color="auto"/>
            </w:tcBorders>
          </w:tcPr>
          <w:p>
            <w:pPr>
              <w:jc w:val="right"/>
              <w:ind w:right="77"/>
              <w:spacing w:after="0" w:line="141" w:lineRule="exact"/>
              <w:rPr>
                <w:sz w:val="20"/>
                <w:szCs w:val="20"/>
                <w:color w:val="auto"/>
              </w:rPr>
            </w:pPr>
            <w:r>
              <w:rPr>
                <w:rFonts w:ascii="Arial" w:cs="Arial" w:eastAsia="Arial" w:hAnsi="Arial"/>
                <w:sz w:val="13"/>
                <w:szCs w:val="13"/>
                <w:color w:val="auto"/>
              </w:rPr>
              <w:t>460,000</w:t>
            </w:r>
          </w:p>
        </w:tc>
        <w:tc>
          <w:tcPr>
            <w:tcW w:w="860" w:type="dxa"/>
            <w:vAlign w:val="bottom"/>
            <w:tcBorders>
              <w:bottom w:val="single" w:sz="8" w:color="auto"/>
            </w:tcBorders>
            <w:gridSpan w:val="2"/>
          </w:tcPr>
          <w:p>
            <w:pPr>
              <w:jc w:val="right"/>
              <w:ind w:right="100"/>
              <w:spacing w:after="0" w:line="141" w:lineRule="exact"/>
              <w:rPr>
                <w:sz w:val="20"/>
                <w:szCs w:val="20"/>
                <w:color w:val="auto"/>
              </w:rPr>
            </w:pPr>
            <w:r>
              <w:rPr>
                <w:rFonts w:ascii="Arial" w:cs="Arial" w:eastAsia="Arial" w:hAnsi="Arial"/>
                <w:sz w:val="13"/>
                <w:szCs w:val="13"/>
                <w:color w:val="auto"/>
              </w:rPr>
              <w:t>920,000</w:t>
            </w:r>
          </w:p>
        </w:tc>
        <w:tc>
          <w:tcPr>
            <w:tcW w:w="9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23"/>
        </w:trPr>
        <w:tc>
          <w:tcPr>
            <w:tcW w:w="950" w:type="dxa"/>
            <w:vAlign w:val="bottom"/>
            <w:shd w:val="clear" w:color="auto" w:fill="CCCCCC"/>
          </w:tcPr>
          <w:p>
            <w:pPr>
              <w:spacing w:after="0"/>
              <w:rPr>
                <w:sz w:val="10"/>
                <w:szCs w:val="10"/>
                <w:color w:val="auto"/>
              </w:rPr>
            </w:pPr>
          </w:p>
        </w:tc>
        <w:tc>
          <w:tcPr>
            <w:tcW w:w="1030" w:type="dxa"/>
            <w:vAlign w:val="bottom"/>
            <w:shd w:val="clear" w:color="auto" w:fill="CCCCCC"/>
          </w:tcPr>
          <w:p>
            <w:pPr>
              <w:ind w:left="50"/>
              <w:spacing w:after="0" w:line="123" w:lineRule="exact"/>
              <w:rPr>
                <w:sz w:val="20"/>
                <w:szCs w:val="20"/>
                <w:color w:val="auto"/>
              </w:rPr>
            </w:pPr>
            <w:r>
              <w:rPr>
                <w:rFonts w:ascii="Arial" w:cs="Arial" w:eastAsia="Arial" w:hAnsi="Arial"/>
                <w:sz w:val="13"/>
                <w:szCs w:val="13"/>
                <w:color w:val="auto"/>
              </w:rPr>
              <w:t>Annual</w:t>
            </w:r>
          </w:p>
        </w:tc>
        <w:tc>
          <w:tcPr>
            <w:tcW w:w="820" w:type="dxa"/>
            <w:vAlign w:val="bottom"/>
            <w:shd w:val="clear" w:color="auto" w:fill="CCCCCC"/>
          </w:tcPr>
          <w:p>
            <w:pPr>
              <w:spacing w:after="0"/>
              <w:rPr>
                <w:sz w:val="10"/>
                <w:szCs w:val="10"/>
                <w:color w:val="auto"/>
              </w:rPr>
            </w:pPr>
          </w:p>
        </w:tc>
        <w:tc>
          <w:tcPr>
            <w:tcW w:w="780" w:type="dxa"/>
            <w:vAlign w:val="bottom"/>
            <w:shd w:val="clear" w:color="auto" w:fill="CCCCCC"/>
          </w:tcPr>
          <w:p>
            <w:pPr>
              <w:spacing w:after="0"/>
              <w:rPr>
                <w:sz w:val="10"/>
                <w:szCs w:val="10"/>
                <w:color w:val="auto"/>
              </w:rPr>
            </w:pPr>
          </w:p>
        </w:tc>
        <w:tc>
          <w:tcPr>
            <w:tcW w:w="1020" w:type="dxa"/>
            <w:vAlign w:val="bottom"/>
            <w:shd w:val="clear" w:color="auto" w:fill="CCCCCC"/>
          </w:tcPr>
          <w:p>
            <w:pPr>
              <w:spacing w:after="0"/>
              <w:rPr>
                <w:sz w:val="10"/>
                <w:szCs w:val="10"/>
                <w:color w:val="auto"/>
              </w:rPr>
            </w:pPr>
          </w:p>
        </w:tc>
        <w:tc>
          <w:tcPr>
            <w:tcW w:w="760" w:type="dxa"/>
            <w:vAlign w:val="bottom"/>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920" w:type="dxa"/>
            <w:vAlign w:val="bottom"/>
            <w:shd w:val="clear" w:color="auto" w:fill="CCCCCC"/>
          </w:tcPr>
          <w:p>
            <w:pPr>
              <w:spacing w:after="0"/>
              <w:rPr>
                <w:sz w:val="10"/>
                <w:szCs w:val="10"/>
                <w:color w:val="auto"/>
              </w:rPr>
            </w:pPr>
          </w:p>
        </w:tc>
        <w:tc>
          <w:tcPr>
            <w:tcW w:w="760" w:type="dxa"/>
            <w:vAlign w:val="bottom"/>
            <w:shd w:val="clear" w:color="auto" w:fill="CCCCCC"/>
          </w:tcPr>
          <w:p>
            <w:pPr>
              <w:spacing w:after="0"/>
              <w:rPr>
                <w:sz w:val="10"/>
                <w:szCs w:val="10"/>
                <w:color w:val="auto"/>
              </w:rPr>
            </w:pPr>
          </w:p>
        </w:tc>
        <w:tc>
          <w:tcPr>
            <w:tcW w:w="680" w:type="dxa"/>
            <w:vAlign w:val="bottom"/>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880" w:type="dxa"/>
            <w:vAlign w:val="bottom"/>
            <w:shd w:val="clear" w:color="auto" w:fill="CCCCCC"/>
          </w:tcPr>
          <w:p>
            <w:pPr>
              <w:spacing w:after="0"/>
              <w:rPr>
                <w:sz w:val="10"/>
                <w:szCs w:val="10"/>
                <w:color w:val="auto"/>
              </w:rPr>
            </w:pPr>
          </w:p>
        </w:tc>
        <w:tc>
          <w:tcPr>
            <w:tcW w:w="900" w:type="dxa"/>
            <w:vAlign w:val="bottom"/>
            <w:shd w:val="clear" w:color="auto" w:fill="CCCCCC"/>
          </w:tcPr>
          <w:p>
            <w:pPr>
              <w:spacing w:after="0"/>
              <w:rPr>
                <w:sz w:val="10"/>
                <w:szCs w:val="10"/>
                <w:color w:val="auto"/>
              </w:rPr>
            </w:pPr>
          </w:p>
        </w:tc>
        <w:tc>
          <w:tcPr>
            <w:tcW w:w="940" w:type="dxa"/>
            <w:vAlign w:val="bottom"/>
            <w:shd w:val="clear" w:color="auto" w:fill="CCCCCC"/>
          </w:tcPr>
          <w:p>
            <w:pPr>
              <w:spacing w:after="0"/>
              <w:rPr>
                <w:sz w:val="10"/>
                <w:szCs w:val="10"/>
                <w:color w:val="auto"/>
              </w:rPr>
            </w:pPr>
          </w:p>
        </w:tc>
        <w:tc>
          <w:tcPr>
            <w:tcW w:w="780" w:type="dxa"/>
            <w:vAlign w:val="bottom"/>
            <w:shd w:val="clear" w:color="auto" w:fill="CCCCCC"/>
          </w:tcPr>
          <w:p>
            <w:pPr>
              <w:spacing w:after="0"/>
              <w:rPr>
                <w:sz w:val="10"/>
                <w:szCs w:val="10"/>
                <w:color w:val="auto"/>
              </w:rPr>
            </w:pPr>
          </w:p>
        </w:tc>
      </w:tr>
      <w:tr>
        <w:trPr>
          <w:trHeight w:val="135"/>
        </w:trPr>
        <w:tc>
          <w:tcPr>
            <w:tcW w:w="950" w:type="dxa"/>
            <w:vAlign w:val="bottom"/>
            <w:shd w:val="clear" w:color="auto" w:fill="CCCCCC"/>
          </w:tcPr>
          <w:p>
            <w:pPr>
              <w:ind w:left="60"/>
              <w:spacing w:after="0" w:line="135" w:lineRule="exact"/>
              <w:rPr>
                <w:sz w:val="20"/>
                <w:szCs w:val="20"/>
                <w:color w:val="auto"/>
              </w:rPr>
            </w:pPr>
            <w:r>
              <w:rPr>
                <w:rFonts w:ascii="Arial" w:cs="Arial" w:eastAsia="Arial" w:hAnsi="Arial"/>
                <w:sz w:val="13"/>
                <w:szCs w:val="13"/>
                <w:color w:val="auto"/>
              </w:rPr>
              <w:t>Mr. Ferraro</w:t>
            </w:r>
          </w:p>
        </w:tc>
        <w:tc>
          <w:tcPr>
            <w:tcW w:w="1030" w:type="dxa"/>
            <w:vAlign w:val="bottom"/>
            <w:shd w:val="clear" w:color="auto" w:fill="CCCCCC"/>
          </w:tcPr>
          <w:p>
            <w:pPr>
              <w:ind w:left="50"/>
              <w:spacing w:after="0" w:line="135" w:lineRule="exact"/>
              <w:rPr>
                <w:sz w:val="20"/>
                <w:szCs w:val="20"/>
                <w:color w:val="auto"/>
              </w:rPr>
            </w:pPr>
            <w:r>
              <w:rPr>
                <w:rFonts w:ascii="Arial" w:cs="Arial" w:eastAsia="Arial" w:hAnsi="Arial"/>
                <w:sz w:val="13"/>
                <w:szCs w:val="13"/>
                <w:color w:val="auto"/>
              </w:rPr>
              <w:t>Incentive</w:t>
            </w:r>
          </w:p>
        </w:tc>
        <w:tc>
          <w:tcPr>
            <w:tcW w:w="820" w:type="dxa"/>
            <w:vAlign w:val="bottom"/>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162,500</w:t>
            </w:r>
          </w:p>
        </w:tc>
        <w:tc>
          <w:tcPr>
            <w:tcW w:w="1020" w:type="dxa"/>
            <w:vAlign w:val="bottom"/>
            <w:shd w:val="clear" w:color="auto" w:fill="CCCCCC"/>
          </w:tcPr>
          <w:p>
            <w:pPr>
              <w:jc w:val="right"/>
              <w:ind w:right="77"/>
              <w:spacing w:after="0" w:line="135" w:lineRule="exact"/>
              <w:rPr>
                <w:sz w:val="20"/>
                <w:szCs w:val="20"/>
                <w:color w:val="auto"/>
              </w:rPr>
            </w:pPr>
            <w:r>
              <w:rPr>
                <w:rFonts w:ascii="Arial" w:cs="Arial" w:eastAsia="Arial" w:hAnsi="Arial"/>
                <w:sz w:val="13"/>
                <w:szCs w:val="13"/>
                <w:color w:val="auto"/>
              </w:rPr>
              <w:t>650,000</w:t>
            </w:r>
          </w:p>
        </w:tc>
        <w:tc>
          <w:tcPr>
            <w:tcW w:w="860" w:type="dxa"/>
            <w:vAlign w:val="bottom"/>
            <w:gridSpan w:val="2"/>
            <w:shd w:val="clear" w:color="auto" w:fill="CCCCCC"/>
          </w:tcPr>
          <w:p>
            <w:pPr>
              <w:jc w:val="right"/>
              <w:ind w:right="100"/>
              <w:spacing w:after="0" w:line="135" w:lineRule="exact"/>
              <w:rPr>
                <w:sz w:val="20"/>
                <w:szCs w:val="20"/>
                <w:color w:val="auto"/>
              </w:rPr>
            </w:pPr>
            <w:r>
              <w:rPr>
                <w:rFonts w:ascii="Arial" w:cs="Arial" w:eastAsia="Arial" w:hAnsi="Arial"/>
                <w:sz w:val="13"/>
                <w:szCs w:val="13"/>
                <w:color w:val="auto"/>
              </w:rPr>
              <w:t>1,300,000</w:t>
            </w:r>
          </w:p>
        </w:tc>
        <w:tc>
          <w:tcPr>
            <w:tcW w:w="9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88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r>
      <w:tr>
        <w:trPr>
          <w:trHeight w:val="135"/>
        </w:trPr>
        <w:tc>
          <w:tcPr>
            <w:tcW w:w="950" w:type="dxa"/>
            <w:vAlign w:val="bottom"/>
            <w:shd w:val="clear" w:color="auto" w:fill="CCCCCC"/>
          </w:tcPr>
          <w:p>
            <w:pPr>
              <w:spacing w:after="0"/>
              <w:rPr>
                <w:sz w:val="11"/>
                <w:szCs w:val="11"/>
                <w:color w:val="auto"/>
              </w:rPr>
            </w:pPr>
          </w:p>
        </w:tc>
        <w:tc>
          <w:tcPr>
            <w:tcW w:w="1030" w:type="dxa"/>
            <w:vAlign w:val="bottom"/>
            <w:shd w:val="clear" w:color="auto" w:fill="CCCCCC"/>
          </w:tcPr>
          <w:p>
            <w:pPr>
              <w:ind w:left="50"/>
              <w:spacing w:after="0" w:line="135" w:lineRule="exact"/>
              <w:rPr>
                <w:sz w:val="20"/>
                <w:szCs w:val="20"/>
                <w:color w:val="auto"/>
              </w:rPr>
            </w:pPr>
            <w:r>
              <w:rPr>
                <w:rFonts w:ascii="Arial" w:cs="Arial" w:eastAsia="Arial" w:hAnsi="Arial"/>
                <w:sz w:val="13"/>
                <w:szCs w:val="13"/>
                <w:color w:val="auto"/>
              </w:rPr>
              <w:t>RSU</w:t>
            </w:r>
          </w:p>
        </w:tc>
        <w:tc>
          <w:tcPr>
            <w:tcW w:w="820" w:type="dxa"/>
            <w:vAlign w:val="bottom"/>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rPr>
              <w:t>3/15/2018</w:t>
            </w:r>
          </w:p>
        </w:tc>
        <w:tc>
          <w:tcPr>
            <w:tcW w:w="780" w:type="dxa"/>
            <w:vAlign w:val="bottom"/>
            <w:shd w:val="clear" w:color="auto" w:fill="CCCCCC"/>
          </w:tcPr>
          <w:p>
            <w:pPr>
              <w:spacing w:after="0"/>
              <w:rPr>
                <w:sz w:val="11"/>
                <w:szCs w:val="11"/>
                <w:color w:val="auto"/>
              </w:rPr>
            </w:pPr>
          </w:p>
        </w:tc>
        <w:tc>
          <w:tcPr>
            <w:tcW w:w="10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9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880" w:type="dxa"/>
            <w:vAlign w:val="bottom"/>
            <w:shd w:val="clear" w:color="auto" w:fill="CCCCCC"/>
          </w:tcPr>
          <w:p>
            <w:pPr>
              <w:jc w:val="right"/>
              <w:ind w:right="37"/>
              <w:spacing w:after="0" w:line="135" w:lineRule="exact"/>
              <w:rPr>
                <w:sz w:val="20"/>
                <w:szCs w:val="20"/>
                <w:color w:val="auto"/>
              </w:rPr>
            </w:pPr>
            <w:r>
              <w:rPr>
                <w:rFonts w:ascii="Arial" w:cs="Arial" w:eastAsia="Arial" w:hAnsi="Arial"/>
                <w:sz w:val="13"/>
                <w:szCs w:val="13"/>
                <w:color w:val="auto"/>
              </w:rPr>
              <w:t>12,315</w:t>
            </w:r>
          </w:p>
        </w:tc>
        <w:tc>
          <w:tcPr>
            <w:tcW w:w="900" w:type="dxa"/>
            <w:vAlign w:val="bottom"/>
            <w:shd w:val="clear" w:color="auto" w:fill="CCCCCC"/>
          </w:tcPr>
          <w:p>
            <w:pPr>
              <w:jc w:val="center"/>
              <w:ind w:right="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CCCC"/>
          </w:tcPr>
          <w:p>
            <w:pPr>
              <w:ind w:left="6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599,987</w:t>
            </w:r>
          </w:p>
        </w:tc>
      </w:tr>
      <w:tr>
        <w:trPr>
          <w:trHeight w:val="141"/>
        </w:trPr>
        <w:tc>
          <w:tcPr>
            <w:tcW w:w="950" w:type="dxa"/>
            <w:vAlign w:val="bottom"/>
            <w:tcBorders>
              <w:bottom w:val="single" w:sz="8" w:color="auto"/>
            </w:tcBorders>
            <w:shd w:val="clear" w:color="auto" w:fill="CCCCCC"/>
          </w:tcPr>
          <w:p>
            <w:pPr>
              <w:spacing w:after="0"/>
              <w:rPr>
                <w:sz w:val="12"/>
                <w:szCs w:val="12"/>
                <w:color w:val="auto"/>
              </w:rPr>
            </w:pPr>
          </w:p>
        </w:tc>
        <w:tc>
          <w:tcPr>
            <w:tcW w:w="1030" w:type="dxa"/>
            <w:vAlign w:val="bottom"/>
            <w:tcBorders>
              <w:bottom w:val="single" w:sz="8" w:color="auto"/>
            </w:tcBorders>
            <w:shd w:val="clear" w:color="auto" w:fill="CCCCCC"/>
          </w:tcPr>
          <w:p>
            <w:pPr>
              <w:ind w:left="50"/>
              <w:spacing w:after="0" w:line="141" w:lineRule="exact"/>
              <w:rPr>
                <w:sz w:val="20"/>
                <w:szCs w:val="20"/>
                <w:color w:val="auto"/>
              </w:rPr>
            </w:pPr>
            <w:r>
              <w:rPr>
                <w:rFonts w:ascii="Arial" w:cs="Arial" w:eastAsia="Arial" w:hAnsi="Arial"/>
                <w:sz w:val="13"/>
                <w:szCs w:val="13"/>
                <w:color w:val="auto"/>
              </w:rPr>
              <w:t>PSU</w:t>
            </w:r>
          </w:p>
        </w:tc>
        <w:tc>
          <w:tcPr>
            <w:tcW w:w="820" w:type="dxa"/>
            <w:vAlign w:val="bottom"/>
            <w:tcBorders>
              <w:bottom w:val="single" w:sz="8" w:color="auto"/>
            </w:tcBorders>
            <w:shd w:val="clear" w:color="auto" w:fill="CCCCCC"/>
          </w:tcPr>
          <w:p>
            <w:pPr>
              <w:jc w:val="right"/>
              <w:ind w:right="57"/>
              <w:spacing w:after="0" w:line="141" w:lineRule="exact"/>
              <w:rPr>
                <w:sz w:val="20"/>
                <w:szCs w:val="20"/>
                <w:color w:val="auto"/>
              </w:rPr>
            </w:pPr>
            <w:r>
              <w:rPr>
                <w:rFonts w:ascii="Arial" w:cs="Arial" w:eastAsia="Arial" w:hAnsi="Arial"/>
                <w:sz w:val="13"/>
                <w:szCs w:val="13"/>
                <w:color w:val="auto"/>
              </w:rPr>
              <w:t>3/15/2018</w:t>
            </w:r>
          </w:p>
        </w:tc>
        <w:tc>
          <w:tcPr>
            <w:tcW w:w="780" w:type="dxa"/>
            <w:vAlign w:val="bottom"/>
            <w:tcBorders>
              <w:bottom w:val="single" w:sz="8" w:color="auto"/>
            </w:tcBorders>
            <w:shd w:val="clear" w:color="auto" w:fill="CCCCCC"/>
          </w:tcPr>
          <w:p>
            <w:pPr>
              <w:spacing w:after="0"/>
              <w:rPr>
                <w:sz w:val="12"/>
                <w:szCs w:val="12"/>
                <w:color w:val="auto"/>
              </w:rPr>
            </w:pPr>
          </w:p>
        </w:tc>
        <w:tc>
          <w:tcPr>
            <w:tcW w:w="1020" w:type="dxa"/>
            <w:vAlign w:val="bottom"/>
            <w:tcBorders>
              <w:bottom w:val="single" w:sz="8" w:color="auto"/>
            </w:tcBorders>
            <w:shd w:val="clear" w:color="auto" w:fill="CCCCCC"/>
          </w:tcPr>
          <w:p>
            <w:pPr>
              <w:spacing w:after="0"/>
              <w:rPr>
                <w:sz w:val="12"/>
                <w:szCs w:val="12"/>
                <w:color w:val="auto"/>
              </w:rPr>
            </w:pPr>
          </w:p>
        </w:tc>
        <w:tc>
          <w:tcPr>
            <w:tcW w:w="760" w:type="dxa"/>
            <w:vAlign w:val="bottom"/>
            <w:tcBorders>
              <w:bottom w:val="single" w:sz="8" w:color="auto"/>
            </w:tcBorders>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920" w:type="dxa"/>
            <w:vAlign w:val="bottom"/>
            <w:tcBorders>
              <w:bottom w:val="single" w:sz="8" w:color="auto"/>
            </w:tcBorders>
            <w:shd w:val="clear" w:color="auto" w:fill="CCCCCC"/>
          </w:tcPr>
          <w:p>
            <w:pPr>
              <w:jc w:val="right"/>
              <w:ind w:right="57"/>
              <w:spacing w:after="0" w:line="141" w:lineRule="exact"/>
              <w:rPr>
                <w:sz w:val="20"/>
                <w:szCs w:val="20"/>
                <w:color w:val="auto"/>
              </w:rPr>
            </w:pPr>
            <w:r>
              <w:rPr>
                <w:rFonts w:ascii="Arial" w:cs="Arial" w:eastAsia="Arial" w:hAnsi="Arial"/>
                <w:sz w:val="13"/>
                <w:szCs w:val="13"/>
                <w:color w:val="auto"/>
              </w:rPr>
              <w:t>6,158</w:t>
            </w:r>
          </w:p>
        </w:tc>
        <w:tc>
          <w:tcPr>
            <w:tcW w:w="760" w:type="dxa"/>
            <w:vAlign w:val="bottom"/>
            <w:tcBorders>
              <w:bottom w:val="single" w:sz="8" w:color="auto"/>
            </w:tcBorders>
            <w:shd w:val="clear" w:color="auto" w:fill="CCCCCC"/>
          </w:tcPr>
          <w:p>
            <w:pPr>
              <w:jc w:val="right"/>
              <w:ind w:right="37"/>
              <w:spacing w:after="0" w:line="141" w:lineRule="exact"/>
              <w:rPr>
                <w:sz w:val="20"/>
                <w:szCs w:val="20"/>
                <w:color w:val="auto"/>
              </w:rPr>
            </w:pPr>
            <w:r>
              <w:rPr>
                <w:rFonts w:ascii="Arial" w:cs="Arial" w:eastAsia="Arial" w:hAnsi="Arial"/>
                <w:sz w:val="13"/>
                <w:szCs w:val="13"/>
                <w:color w:val="auto"/>
              </w:rPr>
              <w:t>12,315</w:t>
            </w:r>
          </w:p>
        </w:tc>
        <w:tc>
          <w:tcPr>
            <w:tcW w:w="780" w:type="dxa"/>
            <w:vAlign w:val="bottom"/>
            <w:tcBorders>
              <w:bottom w:val="single" w:sz="8" w:color="auto"/>
            </w:tcBorders>
            <w:gridSpan w:val="2"/>
            <w:shd w:val="clear" w:color="auto" w:fill="CCCCCC"/>
          </w:tcPr>
          <w:p>
            <w:pPr>
              <w:jc w:val="right"/>
              <w:ind w:right="100"/>
              <w:spacing w:after="0" w:line="141" w:lineRule="exact"/>
              <w:rPr>
                <w:sz w:val="20"/>
                <w:szCs w:val="20"/>
                <w:color w:val="auto"/>
              </w:rPr>
            </w:pPr>
            <w:r>
              <w:rPr>
                <w:rFonts w:ascii="Arial" w:cs="Arial" w:eastAsia="Arial" w:hAnsi="Arial"/>
                <w:sz w:val="13"/>
                <w:szCs w:val="13"/>
                <w:color w:val="auto"/>
              </w:rPr>
              <w:t>24,630</w:t>
            </w:r>
          </w:p>
        </w:tc>
        <w:tc>
          <w:tcPr>
            <w:tcW w:w="88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940" w:type="dxa"/>
            <w:vAlign w:val="bottom"/>
            <w:tcBorders>
              <w:bottom w:val="single" w:sz="8" w:color="auto"/>
            </w:tcBorders>
            <w:shd w:val="clear" w:color="auto" w:fill="CCCCCC"/>
          </w:tcPr>
          <w:p>
            <w:pPr>
              <w:spacing w:after="0"/>
              <w:rPr>
                <w:sz w:val="12"/>
                <w:szCs w:val="12"/>
                <w:color w:val="auto"/>
              </w:rPr>
            </w:pPr>
          </w:p>
        </w:tc>
        <w:tc>
          <w:tcPr>
            <w:tcW w:w="78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599,987</w:t>
            </w:r>
          </w:p>
        </w:tc>
      </w:tr>
      <w:tr>
        <w:trPr>
          <w:trHeight w:val="123"/>
        </w:trPr>
        <w:tc>
          <w:tcPr>
            <w:tcW w:w="950" w:type="dxa"/>
            <w:vAlign w:val="bottom"/>
          </w:tcPr>
          <w:p>
            <w:pPr>
              <w:spacing w:after="0"/>
              <w:rPr>
                <w:sz w:val="10"/>
                <w:szCs w:val="10"/>
                <w:color w:val="auto"/>
              </w:rPr>
            </w:pPr>
          </w:p>
        </w:tc>
        <w:tc>
          <w:tcPr>
            <w:tcW w:w="1030" w:type="dxa"/>
            <w:vAlign w:val="bottom"/>
          </w:tcPr>
          <w:p>
            <w:pPr>
              <w:ind w:left="50"/>
              <w:spacing w:after="0" w:line="123" w:lineRule="exact"/>
              <w:rPr>
                <w:sz w:val="20"/>
                <w:szCs w:val="20"/>
                <w:color w:val="auto"/>
              </w:rPr>
            </w:pPr>
            <w:r>
              <w:rPr>
                <w:rFonts w:ascii="Arial" w:cs="Arial" w:eastAsia="Arial" w:hAnsi="Arial"/>
                <w:sz w:val="13"/>
                <w:szCs w:val="13"/>
                <w:color w:val="auto"/>
              </w:rPr>
              <w:t>Annual</w:t>
            </w: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950" w:type="dxa"/>
            <w:vAlign w:val="bottom"/>
          </w:tcPr>
          <w:p>
            <w:pPr>
              <w:ind w:left="60"/>
              <w:spacing w:after="0" w:line="135" w:lineRule="exact"/>
              <w:rPr>
                <w:sz w:val="20"/>
                <w:szCs w:val="20"/>
                <w:color w:val="auto"/>
              </w:rPr>
            </w:pPr>
            <w:r>
              <w:rPr>
                <w:rFonts w:ascii="Arial" w:cs="Arial" w:eastAsia="Arial" w:hAnsi="Arial"/>
                <w:sz w:val="13"/>
                <w:szCs w:val="13"/>
                <w:color w:val="auto"/>
              </w:rPr>
              <w:t>Mr. Servodidio</w:t>
            </w:r>
          </w:p>
        </w:tc>
        <w:tc>
          <w:tcPr>
            <w:tcW w:w="1030" w:type="dxa"/>
            <w:vAlign w:val="bottom"/>
          </w:tcPr>
          <w:p>
            <w:pPr>
              <w:ind w:left="50"/>
              <w:spacing w:after="0" w:line="135" w:lineRule="exact"/>
              <w:rPr>
                <w:sz w:val="20"/>
                <w:szCs w:val="20"/>
                <w:color w:val="auto"/>
              </w:rPr>
            </w:pPr>
            <w:r>
              <w:rPr>
                <w:rFonts w:ascii="Arial" w:cs="Arial" w:eastAsia="Arial" w:hAnsi="Arial"/>
                <w:sz w:val="13"/>
                <w:szCs w:val="13"/>
                <w:color w:val="auto"/>
              </w:rPr>
              <w:t>Incentive</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156,250</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625,000</w:t>
            </w:r>
          </w:p>
        </w:tc>
        <w:tc>
          <w:tcPr>
            <w:tcW w:w="8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1,250,000</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950" w:type="dxa"/>
            <w:vAlign w:val="bottom"/>
          </w:tcPr>
          <w:p>
            <w:pPr>
              <w:spacing w:after="0"/>
              <w:rPr>
                <w:sz w:val="11"/>
                <w:szCs w:val="11"/>
                <w:color w:val="auto"/>
              </w:rPr>
            </w:pPr>
          </w:p>
        </w:tc>
        <w:tc>
          <w:tcPr>
            <w:tcW w:w="1030" w:type="dxa"/>
            <w:vAlign w:val="bottom"/>
          </w:tcPr>
          <w:p>
            <w:pPr>
              <w:ind w:left="50"/>
              <w:spacing w:after="0" w:line="135" w:lineRule="exact"/>
              <w:rPr>
                <w:sz w:val="20"/>
                <w:szCs w:val="20"/>
                <w:color w:val="auto"/>
              </w:rPr>
            </w:pPr>
            <w:r>
              <w:rPr>
                <w:rFonts w:ascii="Arial" w:cs="Arial" w:eastAsia="Arial" w:hAnsi="Arial"/>
                <w:sz w:val="13"/>
                <w:szCs w:val="13"/>
                <w:color w:val="auto"/>
              </w:rPr>
              <w:t>RSU</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3/15/2018</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12,315</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ind w:left="68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599,987</w:t>
            </w:r>
          </w:p>
        </w:tc>
      </w:tr>
      <w:tr>
        <w:trPr>
          <w:trHeight w:val="141"/>
        </w:trPr>
        <w:tc>
          <w:tcPr>
            <w:tcW w:w="950" w:type="dxa"/>
            <w:vAlign w:val="bottom"/>
            <w:tcBorders>
              <w:bottom w:val="single" w:sz="8" w:color="auto"/>
            </w:tcBorders>
          </w:tcPr>
          <w:p>
            <w:pPr>
              <w:spacing w:after="0"/>
              <w:rPr>
                <w:sz w:val="12"/>
                <w:szCs w:val="12"/>
                <w:color w:val="auto"/>
              </w:rPr>
            </w:pPr>
          </w:p>
        </w:tc>
        <w:tc>
          <w:tcPr>
            <w:tcW w:w="1030" w:type="dxa"/>
            <w:vAlign w:val="bottom"/>
            <w:tcBorders>
              <w:bottom w:val="single" w:sz="8" w:color="auto"/>
            </w:tcBorders>
          </w:tcPr>
          <w:p>
            <w:pPr>
              <w:ind w:left="50"/>
              <w:spacing w:after="0" w:line="141" w:lineRule="exact"/>
              <w:rPr>
                <w:sz w:val="20"/>
                <w:szCs w:val="20"/>
                <w:color w:val="auto"/>
              </w:rPr>
            </w:pPr>
            <w:r>
              <w:rPr>
                <w:rFonts w:ascii="Arial" w:cs="Arial" w:eastAsia="Arial" w:hAnsi="Arial"/>
                <w:sz w:val="13"/>
                <w:szCs w:val="13"/>
                <w:color w:val="auto"/>
              </w:rPr>
              <w:t>PSU</w:t>
            </w:r>
          </w:p>
        </w:tc>
        <w:tc>
          <w:tcPr>
            <w:tcW w:w="82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3/15/2018</w:t>
            </w:r>
          </w:p>
        </w:tc>
        <w:tc>
          <w:tcPr>
            <w:tcW w:w="7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6,158</w:t>
            </w:r>
          </w:p>
        </w:tc>
        <w:tc>
          <w:tcPr>
            <w:tcW w:w="76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12,315</w:t>
            </w:r>
          </w:p>
        </w:tc>
        <w:tc>
          <w:tcPr>
            <w:tcW w:w="780" w:type="dxa"/>
            <w:vAlign w:val="bottom"/>
            <w:tcBorders>
              <w:bottom w:val="single" w:sz="8" w:color="auto"/>
            </w:tcBorders>
            <w:gridSpan w:val="2"/>
          </w:tcPr>
          <w:p>
            <w:pPr>
              <w:jc w:val="right"/>
              <w:ind w:right="100"/>
              <w:spacing w:after="0" w:line="141" w:lineRule="exact"/>
              <w:rPr>
                <w:sz w:val="20"/>
                <w:szCs w:val="20"/>
                <w:color w:val="auto"/>
              </w:rPr>
            </w:pPr>
            <w:r>
              <w:rPr>
                <w:rFonts w:ascii="Arial" w:cs="Arial" w:eastAsia="Arial" w:hAnsi="Arial"/>
                <w:sz w:val="13"/>
                <w:szCs w:val="13"/>
                <w:color w:val="auto"/>
              </w:rPr>
              <w:t>24,630</w:t>
            </w: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599,987</w:t>
            </w:r>
          </w:p>
        </w:tc>
      </w:tr>
      <w:tr>
        <w:trPr>
          <w:trHeight w:val="123"/>
        </w:trPr>
        <w:tc>
          <w:tcPr>
            <w:tcW w:w="950" w:type="dxa"/>
            <w:vAlign w:val="bottom"/>
            <w:shd w:val="clear" w:color="auto" w:fill="CCCCCC"/>
          </w:tcPr>
          <w:p>
            <w:pPr>
              <w:spacing w:after="0"/>
              <w:rPr>
                <w:sz w:val="10"/>
                <w:szCs w:val="10"/>
                <w:color w:val="auto"/>
              </w:rPr>
            </w:pPr>
          </w:p>
        </w:tc>
        <w:tc>
          <w:tcPr>
            <w:tcW w:w="1030" w:type="dxa"/>
            <w:vAlign w:val="bottom"/>
            <w:shd w:val="clear" w:color="auto" w:fill="CCCCCC"/>
          </w:tcPr>
          <w:p>
            <w:pPr>
              <w:ind w:left="50"/>
              <w:spacing w:after="0" w:line="123" w:lineRule="exact"/>
              <w:rPr>
                <w:sz w:val="20"/>
                <w:szCs w:val="20"/>
                <w:color w:val="auto"/>
              </w:rPr>
            </w:pPr>
            <w:r>
              <w:rPr>
                <w:rFonts w:ascii="Arial" w:cs="Arial" w:eastAsia="Arial" w:hAnsi="Arial"/>
                <w:sz w:val="13"/>
                <w:szCs w:val="13"/>
                <w:color w:val="auto"/>
              </w:rPr>
              <w:t>Annual</w:t>
            </w:r>
          </w:p>
        </w:tc>
        <w:tc>
          <w:tcPr>
            <w:tcW w:w="820" w:type="dxa"/>
            <w:vAlign w:val="bottom"/>
            <w:shd w:val="clear" w:color="auto" w:fill="CCCCCC"/>
          </w:tcPr>
          <w:p>
            <w:pPr>
              <w:spacing w:after="0"/>
              <w:rPr>
                <w:sz w:val="10"/>
                <w:szCs w:val="10"/>
                <w:color w:val="auto"/>
              </w:rPr>
            </w:pPr>
          </w:p>
        </w:tc>
        <w:tc>
          <w:tcPr>
            <w:tcW w:w="780" w:type="dxa"/>
            <w:vAlign w:val="bottom"/>
            <w:shd w:val="clear" w:color="auto" w:fill="CCCCCC"/>
          </w:tcPr>
          <w:p>
            <w:pPr>
              <w:spacing w:after="0"/>
              <w:rPr>
                <w:sz w:val="10"/>
                <w:szCs w:val="10"/>
                <w:color w:val="auto"/>
              </w:rPr>
            </w:pPr>
          </w:p>
        </w:tc>
        <w:tc>
          <w:tcPr>
            <w:tcW w:w="1020" w:type="dxa"/>
            <w:vAlign w:val="bottom"/>
            <w:shd w:val="clear" w:color="auto" w:fill="CCCCCC"/>
          </w:tcPr>
          <w:p>
            <w:pPr>
              <w:spacing w:after="0"/>
              <w:rPr>
                <w:sz w:val="10"/>
                <w:szCs w:val="10"/>
                <w:color w:val="auto"/>
              </w:rPr>
            </w:pPr>
          </w:p>
        </w:tc>
        <w:tc>
          <w:tcPr>
            <w:tcW w:w="760" w:type="dxa"/>
            <w:vAlign w:val="bottom"/>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920" w:type="dxa"/>
            <w:vAlign w:val="bottom"/>
            <w:shd w:val="clear" w:color="auto" w:fill="CCCCCC"/>
          </w:tcPr>
          <w:p>
            <w:pPr>
              <w:spacing w:after="0"/>
              <w:rPr>
                <w:sz w:val="10"/>
                <w:szCs w:val="10"/>
                <w:color w:val="auto"/>
              </w:rPr>
            </w:pPr>
          </w:p>
        </w:tc>
        <w:tc>
          <w:tcPr>
            <w:tcW w:w="760" w:type="dxa"/>
            <w:vAlign w:val="bottom"/>
            <w:shd w:val="clear" w:color="auto" w:fill="CCCCCC"/>
          </w:tcPr>
          <w:p>
            <w:pPr>
              <w:spacing w:after="0"/>
              <w:rPr>
                <w:sz w:val="10"/>
                <w:szCs w:val="10"/>
                <w:color w:val="auto"/>
              </w:rPr>
            </w:pPr>
          </w:p>
        </w:tc>
        <w:tc>
          <w:tcPr>
            <w:tcW w:w="680" w:type="dxa"/>
            <w:vAlign w:val="bottom"/>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880" w:type="dxa"/>
            <w:vAlign w:val="bottom"/>
            <w:shd w:val="clear" w:color="auto" w:fill="CCCCCC"/>
          </w:tcPr>
          <w:p>
            <w:pPr>
              <w:spacing w:after="0"/>
              <w:rPr>
                <w:sz w:val="10"/>
                <w:szCs w:val="10"/>
                <w:color w:val="auto"/>
              </w:rPr>
            </w:pPr>
          </w:p>
        </w:tc>
        <w:tc>
          <w:tcPr>
            <w:tcW w:w="900" w:type="dxa"/>
            <w:vAlign w:val="bottom"/>
            <w:shd w:val="clear" w:color="auto" w:fill="CCCCCC"/>
          </w:tcPr>
          <w:p>
            <w:pPr>
              <w:spacing w:after="0"/>
              <w:rPr>
                <w:sz w:val="10"/>
                <w:szCs w:val="10"/>
                <w:color w:val="auto"/>
              </w:rPr>
            </w:pPr>
          </w:p>
        </w:tc>
        <w:tc>
          <w:tcPr>
            <w:tcW w:w="940" w:type="dxa"/>
            <w:vAlign w:val="bottom"/>
            <w:shd w:val="clear" w:color="auto" w:fill="CCCCCC"/>
          </w:tcPr>
          <w:p>
            <w:pPr>
              <w:spacing w:after="0"/>
              <w:rPr>
                <w:sz w:val="10"/>
                <w:szCs w:val="10"/>
                <w:color w:val="auto"/>
              </w:rPr>
            </w:pPr>
          </w:p>
        </w:tc>
        <w:tc>
          <w:tcPr>
            <w:tcW w:w="780" w:type="dxa"/>
            <w:vAlign w:val="bottom"/>
            <w:shd w:val="clear" w:color="auto" w:fill="CCCCCC"/>
          </w:tcPr>
          <w:p>
            <w:pPr>
              <w:spacing w:after="0"/>
              <w:rPr>
                <w:sz w:val="10"/>
                <w:szCs w:val="10"/>
                <w:color w:val="auto"/>
              </w:rPr>
            </w:pPr>
          </w:p>
        </w:tc>
      </w:tr>
      <w:tr>
        <w:trPr>
          <w:trHeight w:val="135"/>
        </w:trPr>
        <w:tc>
          <w:tcPr>
            <w:tcW w:w="950" w:type="dxa"/>
            <w:vAlign w:val="bottom"/>
            <w:shd w:val="clear" w:color="auto" w:fill="CCCCCC"/>
          </w:tcPr>
          <w:p>
            <w:pPr>
              <w:ind w:left="60"/>
              <w:spacing w:after="0" w:line="135" w:lineRule="exact"/>
              <w:rPr>
                <w:sz w:val="20"/>
                <w:szCs w:val="20"/>
                <w:color w:val="auto"/>
              </w:rPr>
            </w:pPr>
            <w:r>
              <w:rPr>
                <w:rFonts w:ascii="Arial" w:cs="Arial" w:eastAsia="Arial" w:hAnsi="Arial"/>
                <w:sz w:val="13"/>
                <w:szCs w:val="13"/>
                <w:color w:val="auto"/>
              </w:rPr>
              <w:t>Mr. Tucker</w:t>
            </w:r>
          </w:p>
        </w:tc>
        <w:tc>
          <w:tcPr>
            <w:tcW w:w="1030" w:type="dxa"/>
            <w:vAlign w:val="bottom"/>
            <w:shd w:val="clear" w:color="auto" w:fill="CCCCCC"/>
          </w:tcPr>
          <w:p>
            <w:pPr>
              <w:ind w:left="50"/>
              <w:spacing w:after="0" w:line="135" w:lineRule="exact"/>
              <w:rPr>
                <w:sz w:val="20"/>
                <w:szCs w:val="20"/>
                <w:color w:val="auto"/>
              </w:rPr>
            </w:pPr>
            <w:r>
              <w:rPr>
                <w:rFonts w:ascii="Arial" w:cs="Arial" w:eastAsia="Arial" w:hAnsi="Arial"/>
                <w:sz w:val="13"/>
                <w:szCs w:val="13"/>
                <w:color w:val="auto"/>
              </w:rPr>
              <w:t>Incentive</w:t>
            </w:r>
          </w:p>
        </w:tc>
        <w:tc>
          <w:tcPr>
            <w:tcW w:w="820" w:type="dxa"/>
            <w:vAlign w:val="bottom"/>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93,750</w:t>
            </w:r>
          </w:p>
        </w:tc>
        <w:tc>
          <w:tcPr>
            <w:tcW w:w="1020" w:type="dxa"/>
            <w:vAlign w:val="bottom"/>
            <w:shd w:val="clear" w:color="auto" w:fill="CCCCCC"/>
          </w:tcPr>
          <w:p>
            <w:pPr>
              <w:jc w:val="right"/>
              <w:ind w:right="77"/>
              <w:spacing w:after="0" w:line="135" w:lineRule="exact"/>
              <w:rPr>
                <w:sz w:val="20"/>
                <w:szCs w:val="20"/>
                <w:color w:val="auto"/>
              </w:rPr>
            </w:pPr>
            <w:r>
              <w:rPr>
                <w:rFonts w:ascii="Arial" w:cs="Arial" w:eastAsia="Arial" w:hAnsi="Arial"/>
                <w:sz w:val="13"/>
                <w:szCs w:val="13"/>
                <w:color w:val="auto"/>
              </w:rPr>
              <w:t>375,000</w:t>
            </w:r>
          </w:p>
        </w:tc>
        <w:tc>
          <w:tcPr>
            <w:tcW w:w="860" w:type="dxa"/>
            <w:vAlign w:val="bottom"/>
            <w:gridSpan w:val="2"/>
            <w:shd w:val="clear" w:color="auto" w:fill="CCCCCC"/>
          </w:tcPr>
          <w:p>
            <w:pPr>
              <w:jc w:val="right"/>
              <w:ind w:right="100"/>
              <w:spacing w:after="0" w:line="135" w:lineRule="exact"/>
              <w:rPr>
                <w:sz w:val="20"/>
                <w:szCs w:val="20"/>
                <w:color w:val="auto"/>
              </w:rPr>
            </w:pPr>
            <w:r>
              <w:rPr>
                <w:rFonts w:ascii="Arial" w:cs="Arial" w:eastAsia="Arial" w:hAnsi="Arial"/>
                <w:sz w:val="13"/>
                <w:szCs w:val="13"/>
                <w:color w:val="auto"/>
              </w:rPr>
              <w:t>750,000</w:t>
            </w:r>
          </w:p>
        </w:tc>
        <w:tc>
          <w:tcPr>
            <w:tcW w:w="9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88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r>
      <w:tr>
        <w:trPr>
          <w:trHeight w:val="135"/>
        </w:trPr>
        <w:tc>
          <w:tcPr>
            <w:tcW w:w="950" w:type="dxa"/>
            <w:vAlign w:val="bottom"/>
            <w:shd w:val="clear" w:color="auto" w:fill="CCCCCC"/>
          </w:tcPr>
          <w:p>
            <w:pPr>
              <w:spacing w:after="0"/>
              <w:rPr>
                <w:sz w:val="11"/>
                <w:szCs w:val="11"/>
                <w:color w:val="auto"/>
              </w:rPr>
            </w:pPr>
          </w:p>
        </w:tc>
        <w:tc>
          <w:tcPr>
            <w:tcW w:w="1030" w:type="dxa"/>
            <w:vAlign w:val="bottom"/>
            <w:shd w:val="clear" w:color="auto" w:fill="CCCCCC"/>
          </w:tcPr>
          <w:p>
            <w:pPr>
              <w:ind w:left="50"/>
              <w:spacing w:after="0" w:line="135" w:lineRule="exact"/>
              <w:rPr>
                <w:sz w:val="20"/>
                <w:szCs w:val="20"/>
                <w:color w:val="auto"/>
              </w:rPr>
            </w:pPr>
            <w:r>
              <w:rPr>
                <w:rFonts w:ascii="Arial" w:cs="Arial" w:eastAsia="Arial" w:hAnsi="Arial"/>
                <w:sz w:val="13"/>
                <w:szCs w:val="13"/>
                <w:color w:val="auto"/>
              </w:rPr>
              <w:t>RSU</w:t>
            </w:r>
          </w:p>
        </w:tc>
        <w:tc>
          <w:tcPr>
            <w:tcW w:w="820" w:type="dxa"/>
            <w:vAlign w:val="bottom"/>
            <w:shd w:val="clear" w:color="auto" w:fill="CCCCCC"/>
          </w:tcPr>
          <w:p>
            <w:pPr>
              <w:jc w:val="right"/>
              <w:ind w:right="57"/>
              <w:spacing w:after="0" w:line="135" w:lineRule="exact"/>
              <w:rPr>
                <w:sz w:val="20"/>
                <w:szCs w:val="20"/>
                <w:color w:val="auto"/>
              </w:rPr>
            </w:pPr>
            <w:r>
              <w:rPr>
                <w:rFonts w:ascii="Arial" w:cs="Arial" w:eastAsia="Arial" w:hAnsi="Arial"/>
                <w:sz w:val="13"/>
                <w:szCs w:val="13"/>
                <w:color w:val="auto"/>
              </w:rPr>
              <w:t>3/15/2018</w:t>
            </w:r>
          </w:p>
        </w:tc>
        <w:tc>
          <w:tcPr>
            <w:tcW w:w="780" w:type="dxa"/>
            <w:vAlign w:val="bottom"/>
            <w:shd w:val="clear" w:color="auto" w:fill="CCCCCC"/>
          </w:tcPr>
          <w:p>
            <w:pPr>
              <w:spacing w:after="0"/>
              <w:rPr>
                <w:sz w:val="11"/>
                <w:szCs w:val="11"/>
                <w:color w:val="auto"/>
              </w:rPr>
            </w:pPr>
          </w:p>
        </w:tc>
        <w:tc>
          <w:tcPr>
            <w:tcW w:w="10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920" w:type="dxa"/>
            <w:vAlign w:val="bottom"/>
            <w:shd w:val="clear" w:color="auto" w:fill="CCCCCC"/>
          </w:tcPr>
          <w:p>
            <w:pPr>
              <w:spacing w:after="0"/>
              <w:rPr>
                <w:sz w:val="11"/>
                <w:szCs w:val="11"/>
                <w:color w:val="auto"/>
              </w:rPr>
            </w:pPr>
          </w:p>
        </w:tc>
        <w:tc>
          <w:tcPr>
            <w:tcW w:w="760" w:type="dxa"/>
            <w:vAlign w:val="bottom"/>
            <w:shd w:val="clear" w:color="auto" w:fill="CCCCCC"/>
          </w:tcPr>
          <w:p>
            <w:pPr>
              <w:spacing w:after="0"/>
              <w:rPr>
                <w:sz w:val="11"/>
                <w:szCs w:val="11"/>
                <w:color w:val="auto"/>
              </w:rPr>
            </w:pPr>
          </w:p>
        </w:tc>
        <w:tc>
          <w:tcPr>
            <w:tcW w:w="68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880" w:type="dxa"/>
            <w:vAlign w:val="bottom"/>
            <w:shd w:val="clear" w:color="auto" w:fill="CCCCCC"/>
          </w:tcPr>
          <w:p>
            <w:pPr>
              <w:jc w:val="right"/>
              <w:ind w:right="37"/>
              <w:spacing w:after="0" w:line="135" w:lineRule="exact"/>
              <w:rPr>
                <w:sz w:val="20"/>
                <w:szCs w:val="20"/>
                <w:color w:val="auto"/>
              </w:rPr>
            </w:pPr>
            <w:r>
              <w:rPr>
                <w:rFonts w:ascii="Arial" w:cs="Arial" w:eastAsia="Arial" w:hAnsi="Arial"/>
                <w:sz w:val="13"/>
                <w:szCs w:val="13"/>
                <w:color w:val="auto"/>
              </w:rPr>
              <w:t>7,184</w:t>
            </w:r>
          </w:p>
        </w:tc>
        <w:tc>
          <w:tcPr>
            <w:tcW w:w="900" w:type="dxa"/>
            <w:vAlign w:val="bottom"/>
            <w:shd w:val="clear" w:color="auto" w:fill="CCCCCC"/>
          </w:tcPr>
          <w:p>
            <w:pPr>
              <w:jc w:val="center"/>
              <w:ind w:right="1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CCCC"/>
          </w:tcPr>
          <w:p>
            <w:pPr>
              <w:ind w:left="680"/>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350,004</w:t>
            </w:r>
          </w:p>
        </w:tc>
      </w:tr>
      <w:tr>
        <w:trPr>
          <w:trHeight w:val="148"/>
        </w:trPr>
        <w:tc>
          <w:tcPr>
            <w:tcW w:w="950" w:type="dxa"/>
            <w:vAlign w:val="bottom"/>
            <w:tcBorders>
              <w:bottom w:val="single" w:sz="8" w:color="auto"/>
            </w:tcBorders>
            <w:shd w:val="clear" w:color="auto" w:fill="CCCCCC"/>
          </w:tcPr>
          <w:p>
            <w:pPr>
              <w:spacing w:after="0"/>
              <w:rPr>
                <w:sz w:val="12"/>
                <w:szCs w:val="12"/>
                <w:color w:val="auto"/>
              </w:rPr>
            </w:pPr>
          </w:p>
        </w:tc>
        <w:tc>
          <w:tcPr>
            <w:tcW w:w="1030" w:type="dxa"/>
            <w:vAlign w:val="bottom"/>
            <w:tcBorders>
              <w:bottom w:val="single" w:sz="8" w:color="auto"/>
            </w:tcBorders>
            <w:shd w:val="clear" w:color="auto" w:fill="CCCCCC"/>
          </w:tcPr>
          <w:p>
            <w:pPr>
              <w:ind w:left="50"/>
              <w:spacing w:after="0" w:line="141" w:lineRule="exact"/>
              <w:rPr>
                <w:sz w:val="20"/>
                <w:szCs w:val="20"/>
                <w:color w:val="auto"/>
              </w:rPr>
            </w:pPr>
            <w:r>
              <w:rPr>
                <w:rFonts w:ascii="Arial" w:cs="Arial" w:eastAsia="Arial" w:hAnsi="Arial"/>
                <w:sz w:val="13"/>
                <w:szCs w:val="13"/>
                <w:color w:val="auto"/>
              </w:rPr>
              <w:t>PSU</w:t>
            </w:r>
          </w:p>
        </w:tc>
        <w:tc>
          <w:tcPr>
            <w:tcW w:w="820" w:type="dxa"/>
            <w:vAlign w:val="bottom"/>
            <w:tcBorders>
              <w:bottom w:val="single" w:sz="8" w:color="auto"/>
            </w:tcBorders>
            <w:shd w:val="clear" w:color="auto" w:fill="CCCCCC"/>
          </w:tcPr>
          <w:p>
            <w:pPr>
              <w:jc w:val="right"/>
              <w:ind w:right="57"/>
              <w:spacing w:after="0" w:line="141" w:lineRule="exact"/>
              <w:rPr>
                <w:sz w:val="20"/>
                <w:szCs w:val="20"/>
                <w:color w:val="auto"/>
              </w:rPr>
            </w:pPr>
            <w:r>
              <w:rPr>
                <w:rFonts w:ascii="Arial" w:cs="Arial" w:eastAsia="Arial" w:hAnsi="Arial"/>
                <w:sz w:val="13"/>
                <w:szCs w:val="13"/>
                <w:color w:val="auto"/>
              </w:rPr>
              <w:t>3/15/2018</w:t>
            </w:r>
          </w:p>
        </w:tc>
        <w:tc>
          <w:tcPr>
            <w:tcW w:w="780" w:type="dxa"/>
            <w:vAlign w:val="bottom"/>
            <w:tcBorders>
              <w:bottom w:val="single" w:sz="8" w:color="auto"/>
            </w:tcBorders>
            <w:shd w:val="clear" w:color="auto" w:fill="CCCCCC"/>
          </w:tcPr>
          <w:p>
            <w:pPr>
              <w:spacing w:after="0"/>
              <w:rPr>
                <w:sz w:val="12"/>
                <w:szCs w:val="12"/>
                <w:color w:val="auto"/>
              </w:rPr>
            </w:pPr>
          </w:p>
        </w:tc>
        <w:tc>
          <w:tcPr>
            <w:tcW w:w="1020" w:type="dxa"/>
            <w:vAlign w:val="bottom"/>
            <w:tcBorders>
              <w:bottom w:val="single" w:sz="8" w:color="auto"/>
            </w:tcBorders>
            <w:shd w:val="clear" w:color="auto" w:fill="CCCCCC"/>
          </w:tcPr>
          <w:p>
            <w:pPr>
              <w:spacing w:after="0"/>
              <w:rPr>
                <w:sz w:val="12"/>
                <w:szCs w:val="12"/>
                <w:color w:val="auto"/>
              </w:rPr>
            </w:pPr>
          </w:p>
        </w:tc>
        <w:tc>
          <w:tcPr>
            <w:tcW w:w="760" w:type="dxa"/>
            <w:vAlign w:val="bottom"/>
            <w:tcBorders>
              <w:bottom w:val="single" w:sz="8" w:color="auto"/>
            </w:tcBorders>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920" w:type="dxa"/>
            <w:vAlign w:val="bottom"/>
            <w:tcBorders>
              <w:bottom w:val="single" w:sz="8" w:color="auto"/>
            </w:tcBorders>
            <w:shd w:val="clear" w:color="auto" w:fill="CCCCCC"/>
          </w:tcPr>
          <w:p>
            <w:pPr>
              <w:jc w:val="right"/>
              <w:ind w:right="57"/>
              <w:spacing w:after="0" w:line="141" w:lineRule="exact"/>
              <w:rPr>
                <w:sz w:val="20"/>
                <w:szCs w:val="20"/>
                <w:color w:val="auto"/>
              </w:rPr>
            </w:pPr>
            <w:r>
              <w:rPr>
                <w:rFonts w:ascii="Arial" w:cs="Arial" w:eastAsia="Arial" w:hAnsi="Arial"/>
                <w:sz w:val="13"/>
                <w:szCs w:val="13"/>
                <w:color w:val="auto"/>
              </w:rPr>
              <w:t>1,540</w:t>
            </w:r>
          </w:p>
        </w:tc>
        <w:tc>
          <w:tcPr>
            <w:tcW w:w="760" w:type="dxa"/>
            <w:vAlign w:val="bottom"/>
            <w:tcBorders>
              <w:bottom w:val="single" w:sz="8" w:color="auto"/>
            </w:tcBorders>
            <w:shd w:val="clear" w:color="auto" w:fill="CCCCCC"/>
          </w:tcPr>
          <w:p>
            <w:pPr>
              <w:jc w:val="right"/>
              <w:ind w:right="37"/>
              <w:spacing w:after="0" w:line="141" w:lineRule="exact"/>
              <w:rPr>
                <w:sz w:val="20"/>
                <w:szCs w:val="20"/>
                <w:color w:val="auto"/>
              </w:rPr>
            </w:pPr>
            <w:r>
              <w:rPr>
                <w:rFonts w:ascii="Arial" w:cs="Arial" w:eastAsia="Arial" w:hAnsi="Arial"/>
                <w:sz w:val="13"/>
                <w:szCs w:val="13"/>
                <w:color w:val="auto"/>
              </w:rPr>
              <w:t>3,079</w:t>
            </w:r>
          </w:p>
        </w:tc>
        <w:tc>
          <w:tcPr>
            <w:tcW w:w="780" w:type="dxa"/>
            <w:vAlign w:val="bottom"/>
            <w:tcBorders>
              <w:bottom w:val="single" w:sz="8" w:color="auto"/>
            </w:tcBorders>
            <w:gridSpan w:val="2"/>
            <w:shd w:val="clear" w:color="auto" w:fill="CCCCCC"/>
          </w:tcPr>
          <w:p>
            <w:pPr>
              <w:jc w:val="right"/>
              <w:ind w:right="100"/>
              <w:spacing w:after="0" w:line="141" w:lineRule="exact"/>
              <w:rPr>
                <w:sz w:val="20"/>
                <w:szCs w:val="20"/>
                <w:color w:val="auto"/>
              </w:rPr>
            </w:pPr>
            <w:r>
              <w:rPr>
                <w:rFonts w:ascii="Arial" w:cs="Arial" w:eastAsia="Arial" w:hAnsi="Arial"/>
                <w:sz w:val="13"/>
                <w:szCs w:val="13"/>
                <w:color w:val="auto"/>
              </w:rPr>
              <w:t>6,158</w:t>
            </w:r>
          </w:p>
        </w:tc>
        <w:tc>
          <w:tcPr>
            <w:tcW w:w="88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940" w:type="dxa"/>
            <w:vAlign w:val="bottom"/>
            <w:tcBorders>
              <w:bottom w:val="single" w:sz="8" w:color="auto"/>
            </w:tcBorders>
            <w:shd w:val="clear" w:color="auto" w:fill="CCCCCC"/>
          </w:tcPr>
          <w:p>
            <w:pPr>
              <w:spacing w:after="0"/>
              <w:rPr>
                <w:sz w:val="12"/>
                <w:szCs w:val="12"/>
                <w:color w:val="auto"/>
              </w:rPr>
            </w:pPr>
          </w:p>
        </w:tc>
        <w:tc>
          <w:tcPr>
            <w:tcW w:w="78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150,009</w:t>
            </w:r>
          </w:p>
        </w:tc>
      </w:tr>
    </w:tbl>
    <w:p>
      <w:pPr>
        <w:spacing w:after="0" w:line="16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discussion of the 2018 AIP is included in the CD&amp;A. Amounts earned under this program are set forth in the Summary Compensation Table.</w:t>
      </w:r>
    </w:p>
    <w:p>
      <w:pPr>
        <w:spacing w:after="0" w:line="163"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awards of PSUs which are scheduled to vest on March 15, 2021, subject to continued service and based on three-year cumulative Adjusted EBITDA goals, as more fully described in the CD&amp;A under “2018 Long-Term Incentive Awards.”</w:t>
      </w:r>
    </w:p>
    <w:p>
      <w:pPr>
        <w:spacing w:after="0" w:line="140" w:lineRule="exact"/>
        <w:rPr>
          <w:rFonts w:ascii="Arial" w:cs="Arial" w:eastAsia="Arial" w:hAnsi="Arial"/>
          <w:sz w:val="14"/>
          <w:szCs w:val="14"/>
          <w:color w:val="auto"/>
        </w:rPr>
      </w:pPr>
    </w:p>
    <w:p>
      <w:pPr>
        <w:ind w:left="340" w:hanging="332"/>
        <w:spacing w:after="0" w:line="249"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awards for RSUs which are scheduled to vest in equal installments on each of the first three anniversaries of the date of grant, generally subject to continued service.</w:t>
      </w:r>
    </w:p>
    <w:p>
      <w:pPr>
        <w:spacing w:after="0" w:line="319"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16 to our audited financial statements for the fiscal year ended December 31, 2018, included in our 2018 Form 10-K. The grant date value of the stock underlying the PSUs assuming attainment of the highest level of performance conditions were: for Mr. De Shon, $6,600,000; Mr. Ferraro, $1,119,974; Mr. Servodidio, $1,119,974; and Mr. Tucker, $300,018.</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Fiscal Year-End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Option Awards</w:t>
            </w: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397"/>
              <w:spacing w:after="0"/>
              <w:rPr>
                <w:sz w:val="20"/>
                <w:szCs w:val="20"/>
                <w:color w:val="auto"/>
              </w:rPr>
            </w:pPr>
            <w:r>
              <w:rPr>
                <w:rFonts w:ascii="Arial" w:cs="Arial" w:eastAsia="Arial" w:hAnsi="Arial"/>
                <w:sz w:val="13"/>
                <w:szCs w:val="13"/>
                <w:b w:val="1"/>
                <w:bCs w:val="1"/>
                <w:color w:val="auto"/>
              </w:rPr>
              <w:t>Stock Awards(a)</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13"/>
        </w:trPr>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Equity</w:t>
            </w:r>
          </w:p>
        </w:tc>
        <w:tc>
          <w:tcPr>
            <w:tcW w:w="20" w:type="dxa"/>
            <w:vAlign w:val="bottom"/>
          </w:tcPr>
          <w:p>
            <w:pPr>
              <w:spacing w:after="0"/>
              <w:rPr>
                <w:sz w:val="9"/>
                <w:szCs w:val="9"/>
                <w:color w:val="auto"/>
              </w:rPr>
            </w:pP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Equity</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5"/>
              </w:rPr>
              <w:t>Incentive</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Incentive</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4"/>
              </w:rPr>
              <w:t>Plan</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Plan</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Awards:</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Awards:</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9"/>
              </w:rPr>
              <w:t>Market or</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Equity</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Payout</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Number</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280" w:type="dxa"/>
            <w:vAlign w:val="bottom"/>
          </w:tcPr>
          <w:p>
            <w:pPr>
              <w:spacing w:after="0"/>
              <w:rPr>
                <w:sz w:val="11"/>
                <w:szCs w:val="11"/>
                <w:color w:val="auto"/>
              </w:rPr>
            </w:pP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Value of</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Shares,</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6"/>
              </w:rPr>
              <w:t>Unearned</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Shares,</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or Units</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280" w:type="dxa"/>
            <w:vAlign w:val="bottom"/>
          </w:tcPr>
          <w:p>
            <w:pPr>
              <w:spacing w:after="0"/>
              <w:rPr>
                <w:sz w:val="11"/>
                <w:szCs w:val="11"/>
                <w:color w:val="auto"/>
              </w:rPr>
            </w:pP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Units or</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Stock</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Rights</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Other</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That</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3"/>
              </w:rPr>
              <w:t>Rights</w:t>
            </w:r>
          </w:p>
        </w:tc>
      </w:tr>
      <w:tr>
        <w:trPr>
          <w:trHeight w:val="135"/>
        </w:trPr>
        <w:tc>
          <w:tcPr>
            <w:tcW w:w="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10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7"/>
              </w:rPr>
              <w:t>Options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Not</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Not</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Have Not</w:t>
            </w:r>
          </w:p>
        </w:tc>
        <w:tc>
          <w:tcPr>
            <w:tcW w:w="280" w:type="dxa"/>
            <w:vAlign w:val="bottom"/>
          </w:tcPr>
          <w:p>
            <w:pPr>
              <w:spacing w:after="0"/>
              <w:rPr>
                <w:sz w:val="11"/>
                <w:szCs w:val="11"/>
                <w:color w:val="auto"/>
              </w:rPr>
            </w:pPr>
          </w:p>
        </w:tc>
        <w:tc>
          <w:tcPr>
            <w:tcW w:w="92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That Have</w:t>
            </w:r>
          </w:p>
        </w:tc>
      </w:tr>
      <w:tr>
        <w:trPr>
          <w:trHeight w:val="135"/>
        </w:trPr>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9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Price</w:t>
            </w:r>
          </w:p>
        </w:tc>
        <w:tc>
          <w:tcPr>
            <w:tcW w:w="108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4"/>
              </w:rPr>
              <w:t>Expiration</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28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Vested</w:t>
            </w:r>
          </w:p>
        </w:tc>
        <w:tc>
          <w:tcPr>
            <w:tcW w:w="280" w:type="dxa"/>
            <w:vAlign w:val="bottom"/>
          </w:tcPr>
          <w:p>
            <w:pPr>
              <w:spacing w:after="0"/>
              <w:rPr>
                <w:sz w:val="11"/>
                <w:szCs w:val="11"/>
                <w:color w:val="auto"/>
              </w:rPr>
            </w:pPr>
          </w:p>
        </w:tc>
        <w:tc>
          <w:tcPr>
            <w:tcW w:w="9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Not Vested</w:t>
            </w:r>
          </w:p>
        </w:tc>
      </w:tr>
      <w:tr>
        <w:trPr>
          <w:trHeight w:val="164"/>
        </w:trPr>
        <w:tc>
          <w:tcPr>
            <w:tcW w:w="9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 Unexercisable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9"/>
              </w:rPr>
              <w:t>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20" w:type="dxa"/>
            <w:vAlign w:val="bottom"/>
          </w:tcPr>
          <w:p>
            <w:pPr>
              <w:spacing w:after="0"/>
              <w:rPr>
                <w:sz w:val="14"/>
                <w:szCs w:val="14"/>
                <w:color w:val="auto"/>
              </w:rPr>
            </w:pPr>
          </w:p>
        </w:tc>
      </w:tr>
      <w:tr>
        <w:trPr>
          <w:trHeight w:val="129"/>
        </w:trPr>
        <w:tc>
          <w:tcPr>
            <w:tcW w:w="900" w:type="dxa"/>
            <w:vAlign w:val="bottom"/>
            <w:shd w:val="clear" w:color="auto" w:fill="CCCCCC"/>
          </w:tcPr>
          <w:p>
            <w:pPr>
              <w:ind w:left="60"/>
              <w:spacing w:after="0" w:line="129" w:lineRule="exact"/>
              <w:rPr>
                <w:sz w:val="20"/>
                <w:szCs w:val="20"/>
                <w:color w:val="auto"/>
              </w:rPr>
            </w:pPr>
            <w:r>
              <w:rPr>
                <w:rFonts w:ascii="Arial" w:cs="Arial" w:eastAsia="Arial" w:hAnsi="Arial"/>
                <w:sz w:val="13"/>
                <w:szCs w:val="13"/>
                <w:color w:val="auto"/>
              </w:rPr>
              <w:t>Mr. De Shon</w:t>
            </w:r>
          </w:p>
        </w:tc>
        <w:tc>
          <w:tcPr>
            <w:tcW w:w="1060" w:type="dxa"/>
            <w:vAlign w:val="bottom"/>
            <w:shd w:val="clear" w:color="auto" w:fill="CCCCCC"/>
          </w:tcPr>
          <w:p>
            <w:pPr>
              <w:jc w:val="center"/>
              <w:spacing w:after="0" w:line="129" w:lineRule="exact"/>
              <w:rPr>
                <w:sz w:val="20"/>
                <w:szCs w:val="20"/>
                <w:color w:val="auto"/>
              </w:rPr>
            </w:pPr>
            <w:r>
              <w:rPr>
                <w:rFonts w:ascii="Arial" w:cs="Arial" w:eastAsia="Arial" w:hAnsi="Arial"/>
                <w:sz w:val="13"/>
                <w:szCs w:val="13"/>
                <w:color w:val="auto"/>
                <w:w w:val="96"/>
              </w:rPr>
              <w:t>3/15/2018</w:t>
            </w:r>
          </w:p>
        </w:tc>
        <w:tc>
          <w:tcPr>
            <w:tcW w:w="96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9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00" w:type="dxa"/>
            <w:vAlign w:val="bottom"/>
            <w:shd w:val="clear" w:color="auto" w:fill="CCCCCC"/>
          </w:tcPr>
          <w:p>
            <w:pPr>
              <w:jc w:val="right"/>
              <w:spacing w:after="0" w:line="129" w:lineRule="exact"/>
              <w:rPr>
                <w:sz w:val="20"/>
                <w:szCs w:val="20"/>
                <w:color w:val="auto"/>
              </w:rPr>
            </w:pPr>
            <w:r>
              <w:rPr>
                <w:rFonts w:ascii="Arial" w:cs="Arial" w:eastAsia="Arial" w:hAnsi="Arial"/>
                <w:sz w:val="13"/>
                <w:szCs w:val="13"/>
                <w:color w:val="auto"/>
              </w:rPr>
              <w:t>45,156</w:t>
            </w:r>
          </w:p>
        </w:tc>
        <w:tc>
          <w:tcPr>
            <w:tcW w:w="28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(b)</w:t>
            </w:r>
          </w:p>
        </w:tc>
        <w:tc>
          <w:tcPr>
            <w:tcW w:w="920" w:type="dxa"/>
            <w:vAlign w:val="bottom"/>
            <w:shd w:val="clear" w:color="auto" w:fill="CCCCCC"/>
          </w:tcPr>
          <w:p>
            <w:pPr>
              <w:jc w:val="center"/>
              <w:spacing w:after="0" w:line="129" w:lineRule="exact"/>
              <w:rPr>
                <w:sz w:val="20"/>
                <w:szCs w:val="20"/>
                <w:color w:val="auto"/>
              </w:rPr>
            </w:pPr>
            <w:r>
              <w:rPr>
                <w:rFonts w:ascii="Arial" w:cs="Arial" w:eastAsia="Arial" w:hAnsi="Arial"/>
                <w:sz w:val="13"/>
                <w:szCs w:val="13"/>
                <w:color w:val="auto"/>
                <w:w w:val="96"/>
              </w:rPr>
              <w:t>1,015,107</w:t>
            </w:r>
          </w:p>
        </w:tc>
        <w:tc>
          <w:tcPr>
            <w:tcW w:w="980" w:type="dxa"/>
            <w:vAlign w:val="bottom"/>
            <w:shd w:val="clear" w:color="auto" w:fill="CCCCCC"/>
          </w:tcPr>
          <w:p>
            <w:pPr>
              <w:jc w:val="right"/>
              <w:spacing w:after="0" w:line="129" w:lineRule="exact"/>
              <w:rPr>
                <w:sz w:val="20"/>
                <w:szCs w:val="20"/>
                <w:color w:val="auto"/>
              </w:rPr>
            </w:pPr>
            <w:r>
              <w:rPr>
                <w:rFonts w:ascii="Arial" w:cs="Arial" w:eastAsia="Arial" w:hAnsi="Arial"/>
                <w:sz w:val="13"/>
                <w:szCs w:val="13"/>
                <w:color w:val="auto"/>
              </w:rPr>
              <w:t>67,734</w:t>
            </w:r>
          </w:p>
        </w:tc>
        <w:tc>
          <w:tcPr>
            <w:tcW w:w="280" w:type="dxa"/>
            <w:vAlign w:val="bottom"/>
            <w:shd w:val="clear" w:color="auto" w:fill="CCCCCC"/>
          </w:tcPr>
          <w:p>
            <w:pPr>
              <w:spacing w:after="0" w:line="129" w:lineRule="exact"/>
              <w:rPr>
                <w:sz w:val="20"/>
                <w:szCs w:val="20"/>
                <w:color w:val="auto"/>
              </w:rPr>
            </w:pPr>
            <w:r>
              <w:rPr>
                <w:rFonts w:ascii="Arial" w:cs="Arial" w:eastAsia="Arial" w:hAnsi="Arial"/>
                <w:sz w:val="13"/>
                <w:szCs w:val="13"/>
                <w:color w:val="auto"/>
              </w:rPr>
              <w:t>(f)</w:t>
            </w:r>
          </w:p>
        </w:tc>
        <w:tc>
          <w:tcPr>
            <w:tcW w:w="900" w:type="dxa"/>
            <w:vAlign w:val="bottom"/>
            <w:shd w:val="clear" w:color="auto" w:fill="CCCCCC"/>
          </w:tcPr>
          <w:p>
            <w:pPr>
              <w:jc w:val="right"/>
              <w:spacing w:after="0" w:line="129" w:lineRule="exact"/>
              <w:rPr>
                <w:sz w:val="20"/>
                <w:szCs w:val="20"/>
                <w:color w:val="auto"/>
              </w:rPr>
            </w:pPr>
            <w:r>
              <w:rPr>
                <w:rFonts w:ascii="Arial" w:cs="Arial" w:eastAsia="Arial" w:hAnsi="Arial"/>
                <w:sz w:val="13"/>
                <w:szCs w:val="13"/>
                <w:color w:val="auto"/>
              </w:rPr>
              <w:t>1,522,660</w:t>
            </w:r>
          </w:p>
        </w:tc>
        <w:tc>
          <w:tcPr>
            <w:tcW w:w="20" w:type="dxa"/>
            <w:vAlign w:val="bottom"/>
          </w:tcPr>
          <w:p>
            <w:pPr>
              <w:spacing w:after="0"/>
              <w:rPr>
                <w:sz w:val="11"/>
                <w:szCs w:val="11"/>
                <w:color w:val="auto"/>
              </w:rPr>
            </w:pPr>
          </w:p>
        </w:tc>
      </w:tr>
      <w:tr>
        <w:trPr>
          <w:trHeight w:val="135"/>
        </w:trPr>
        <w:tc>
          <w:tcPr>
            <w:tcW w:w="900" w:type="dxa"/>
            <w:vAlign w:val="bottom"/>
            <w:shd w:val="clear" w:color="auto" w:fill="CCCCCC"/>
          </w:tcPr>
          <w:p>
            <w:pPr>
              <w:spacing w:after="0"/>
              <w:rPr>
                <w:sz w:val="11"/>
                <w:szCs w:val="11"/>
                <w:color w:val="auto"/>
              </w:rPr>
            </w:pPr>
          </w:p>
        </w:tc>
        <w:tc>
          <w:tcPr>
            <w:tcW w:w="106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8"/>
              </w:rPr>
              <w:t>3/1/2017</w:t>
            </w:r>
          </w:p>
        </w:tc>
        <w:tc>
          <w:tcPr>
            <w:tcW w:w="96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9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0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42,624</w:t>
            </w:r>
          </w:p>
        </w:tc>
        <w:tc>
          <w:tcPr>
            <w:tcW w:w="280" w:type="dxa"/>
            <w:vAlign w:val="bottom"/>
            <w:shd w:val="clear" w:color="auto" w:fill="CCCCCC"/>
          </w:tcPr>
          <w:p>
            <w:pPr>
              <w:spacing w:after="0" w:line="135" w:lineRule="exact"/>
              <w:rPr>
                <w:sz w:val="20"/>
                <w:szCs w:val="20"/>
                <w:color w:val="auto"/>
              </w:rPr>
            </w:pPr>
            <w:r>
              <w:rPr>
                <w:rFonts w:ascii="Arial" w:cs="Arial" w:eastAsia="Arial" w:hAnsi="Arial"/>
                <w:sz w:val="13"/>
                <w:szCs w:val="13"/>
                <w:color w:val="auto"/>
              </w:rPr>
              <w:t>(d)</w:t>
            </w:r>
          </w:p>
        </w:tc>
        <w:tc>
          <w:tcPr>
            <w:tcW w:w="92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7"/>
              </w:rPr>
              <w:t>958,188</w:t>
            </w:r>
          </w:p>
        </w:tc>
        <w:tc>
          <w:tcPr>
            <w:tcW w:w="9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95,902</w:t>
            </w:r>
          </w:p>
        </w:tc>
        <w:tc>
          <w:tcPr>
            <w:tcW w:w="280" w:type="dxa"/>
            <w:vAlign w:val="bottom"/>
            <w:shd w:val="clear" w:color="auto" w:fill="CCCCCC"/>
          </w:tcPr>
          <w:p>
            <w:pPr>
              <w:spacing w:after="0" w:line="135" w:lineRule="exact"/>
              <w:rPr>
                <w:sz w:val="20"/>
                <w:szCs w:val="20"/>
                <w:color w:val="auto"/>
              </w:rPr>
            </w:pPr>
            <w:r>
              <w:rPr>
                <w:rFonts w:ascii="Arial" w:cs="Arial" w:eastAsia="Arial" w:hAnsi="Arial"/>
                <w:sz w:val="13"/>
                <w:szCs w:val="13"/>
                <w:color w:val="auto"/>
              </w:rPr>
              <w:t>(g)</w:t>
            </w:r>
          </w:p>
        </w:tc>
        <w:tc>
          <w:tcPr>
            <w:tcW w:w="90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2,155,877</w:t>
            </w:r>
          </w:p>
        </w:tc>
        <w:tc>
          <w:tcPr>
            <w:tcW w:w="20" w:type="dxa"/>
            <w:vAlign w:val="bottom"/>
          </w:tcPr>
          <w:p>
            <w:pPr>
              <w:spacing w:after="0"/>
              <w:rPr>
                <w:sz w:val="11"/>
                <w:szCs w:val="11"/>
                <w:color w:val="auto"/>
              </w:rPr>
            </w:pPr>
          </w:p>
        </w:tc>
      </w:tr>
      <w:tr>
        <w:trPr>
          <w:trHeight w:val="141"/>
        </w:trPr>
        <w:tc>
          <w:tcPr>
            <w:tcW w:w="900" w:type="dxa"/>
            <w:vAlign w:val="bottom"/>
            <w:tcBorders>
              <w:bottom w:val="single" w:sz="8" w:color="auto"/>
            </w:tcBorders>
            <w:shd w:val="clear" w:color="auto" w:fill="CCCCCC"/>
          </w:tcPr>
          <w:p>
            <w:pPr>
              <w:spacing w:after="0"/>
              <w:rPr>
                <w:sz w:val="12"/>
                <w:szCs w:val="12"/>
                <w:color w:val="auto"/>
              </w:rPr>
            </w:pPr>
          </w:p>
        </w:tc>
        <w:tc>
          <w:tcPr>
            <w:tcW w:w="1060" w:type="dxa"/>
            <w:vAlign w:val="bottom"/>
            <w:tcBorders>
              <w:bottom w:val="single" w:sz="8" w:color="auto"/>
            </w:tcBorders>
            <w:shd w:val="clear" w:color="auto" w:fill="CCCCCC"/>
          </w:tcPr>
          <w:p>
            <w:pPr>
              <w:jc w:val="center"/>
              <w:spacing w:after="0" w:line="141" w:lineRule="exact"/>
              <w:rPr>
                <w:sz w:val="20"/>
                <w:szCs w:val="20"/>
                <w:color w:val="auto"/>
              </w:rPr>
            </w:pPr>
            <w:r>
              <w:rPr>
                <w:rFonts w:ascii="Arial" w:cs="Arial" w:eastAsia="Arial" w:hAnsi="Arial"/>
                <w:sz w:val="13"/>
                <w:szCs w:val="13"/>
                <w:color w:val="auto"/>
                <w:w w:val="96"/>
              </w:rPr>
              <w:t>1/28/2016</w:t>
            </w:r>
          </w:p>
        </w:tc>
        <w:tc>
          <w:tcPr>
            <w:tcW w:w="960" w:type="dxa"/>
            <w:vAlign w:val="bottom"/>
            <w:tcBorders>
              <w:bottom w:val="single" w:sz="8" w:color="auto"/>
            </w:tcBorders>
            <w:shd w:val="clear" w:color="auto" w:fill="CCCCCC"/>
          </w:tcPr>
          <w:p>
            <w:pPr>
              <w:spacing w:after="0"/>
              <w:rPr>
                <w:sz w:val="12"/>
                <w:szCs w:val="12"/>
                <w:color w:val="auto"/>
              </w:rPr>
            </w:pPr>
          </w:p>
        </w:tc>
        <w:tc>
          <w:tcPr>
            <w:tcW w:w="1120" w:type="dxa"/>
            <w:vAlign w:val="bottom"/>
            <w:tcBorders>
              <w:bottom w:val="single" w:sz="8" w:color="auto"/>
            </w:tcBorders>
            <w:shd w:val="clear" w:color="auto" w:fill="CCCCCC"/>
          </w:tcPr>
          <w:p>
            <w:pPr>
              <w:spacing w:after="0"/>
              <w:rPr>
                <w:sz w:val="12"/>
                <w:szCs w:val="12"/>
                <w:color w:val="auto"/>
              </w:rPr>
            </w:pPr>
          </w:p>
        </w:tc>
        <w:tc>
          <w:tcPr>
            <w:tcW w:w="114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960" w:type="dxa"/>
            <w:vAlign w:val="bottom"/>
            <w:tcBorders>
              <w:bottom w:val="single" w:sz="8" w:color="auto"/>
            </w:tcBorders>
            <w:shd w:val="clear" w:color="auto" w:fill="CCCCCC"/>
          </w:tcPr>
          <w:p>
            <w:pPr>
              <w:spacing w:after="0"/>
              <w:rPr>
                <w:sz w:val="12"/>
                <w:szCs w:val="12"/>
                <w:color w:val="auto"/>
              </w:rPr>
            </w:pPr>
          </w:p>
        </w:tc>
        <w:tc>
          <w:tcPr>
            <w:tcW w:w="12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11,592</w:t>
            </w:r>
          </w:p>
        </w:tc>
        <w:tc>
          <w:tcPr>
            <w:tcW w:w="280" w:type="dxa"/>
            <w:vAlign w:val="bottom"/>
            <w:tcBorders>
              <w:bottom w:val="single" w:sz="8" w:color="auto"/>
            </w:tcBorders>
            <w:shd w:val="clear" w:color="auto" w:fill="CCCCCC"/>
          </w:tcPr>
          <w:p>
            <w:pPr>
              <w:spacing w:after="0" w:line="141" w:lineRule="exact"/>
              <w:rPr>
                <w:sz w:val="20"/>
                <w:szCs w:val="20"/>
                <w:color w:val="auto"/>
              </w:rPr>
            </w:pPr>
            <w:r>
              <w:rPr>
                <w:rFonts w:ascii="Arial" w:cs="Arial" w:eastAsia="Arial" w:hAnsi="Arial"/>
                <w:sz w:val="13"/>
                <w:szCs w:val="13"/>
                <w:color w:val="auto"/>
              </w:rPr>
              <w:t>(e)</w:t>
            </w:r>
          </w:p>
        </w:tc>
        <w:tc>
          <w:tcPr>
            <w:tcW w:w="920" w:type="dxa"/>
            <w:vAlign w:val="bottom"/>
            <w:tcBorders>
              <w:bottom w:val="single" w:sz="8" w:color="auto"/>
            </w:tcBorders>
            <w:shd w:val="clear" w:color="auto" w:fill="CCCCCC"/>
          </w:tcPr>
          <w:p>
            <w:pPr>
              <w:jc w:val="center"/>
              <w:spacing w:after="0" w:line="141" w:lineRule="exact"/>
              <w:rPr>
                <w:sz w:val="20"/>
                <w:szCs w:val="20"/>
                <w:color w:val="auto"/>
              </w:rPr>
            </w:pPr>
            <w:r>
              <w:rPr>
                <w:rFonts w:ascii="Arial" w:cs="Arial" w:eastAsia="Arial" w:hAnsi="Arial"/>
                <w:sz w:val="13"/>
                <w:szCs w:val="13"/>
                <w:color w:val="auto"/>
                <w:w w:val="97"/>
              </w:rPr>
              <w:t>260,588</w:t>
            </w:r>
          </w:p>
        </w:tc>
        <w:tc>
          <w:tcPr>
            <w:tcW w:w="98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81,144</w:t>
            </w:r>
          </w:p>
        </w:tc>
        <w:tc>
          <w:tcPr>
            <w:tcW w:w="280" w:type="dxa"/>
            <w:vAlign w:val="bottom"/>
            <w:tcBorders>
              <w:bottom w:val="single" w:sz="8" w:color="auto"/>
            </w:tcBorders>
            <w:shd w:val="clear" w:color="auto" w:fill="CCCCCC"/>
          </w:tcPr>
          <w:p>
            <w:pPr>
              <w:spacing w:after="0" w:line="141" w:lineRule="exact"/>
              <w:rPr>
                <w:sz w:val="20"/>
                <w:szCs w:val="20"/>
                <w:color w:val="auto"/>
              </w:rPr>
            </w:pPr>
            <w:r>
              <w:rPr>
                <w:rFonts w:ascii="Arial" w:cs="Arial" w:eastAsia="Arial" w:hAnsi="Arial"/>
                <w:sz w:val="13"/>
                <w:szCs w:val="13"/>
                <w:color w:val="auto"/>
              </w:rPr>
              <w:t>(h)</w:t>
            </w:r>
          </w:p>
        </w:tc>
        <w:tc>
          <w:tcPr>
            <w:tcW w:w="90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1,824,117</w:t>
            </w:r>
          </w:p>
        </w:tc>
        <w:tc>
          <w:tcPr>
            <w:tcW w:w="20" w:type="dxa"/>
            <w:vAlign w:val="bottom"/>
          </w:tcPr>
          <w:p>
            <w:pPr>
              <w:spacing w:after="0"/>
              <w:rPr>
                <w:sz w:val="12"/>
                <w:szCs w:val="12"/>
                <w:color w:val="auto"/>
              </w:rPr>
            </w:pPr>
          </w:p>
        </w:tc>
      </w:tr>
      <w:tr>
        <w:trPr>
          <w:trHeight w:val="123"/>
        </w:trPr>
        <w:tc>
          <w:tcPr>
            <w:tcW w:w="900" w:type="dxa"/>
            <w:vAlign w:val="bottom"/>
          </w:tcPr>
          <w:p>
            <w:pPr>
              <w:ind w:left="60"/>
              <w:spacing w:after="0" w:line="123" w:lineRule="exact"/>
              <w:rPr>
                <w:sz w:val="20"/>
                <w:szCs w:val="20"/>
                <w:color w:val="auto"/>
              </w:rPr>
            </w:pPr>
            <w:r>
              <w:rPr>
                <w:rFonts w:ascii="Arial" w:cs="Arial" w:eastAsia="Arial" w:hAnsi="Arial"/>
                <w:sz w:val="13"/>
                <w:szCs w:val="13"/>
                <w:color w:val="auto"/>
              </w:rPr>
              <w:t>Mr. Ferraro</w:t>
            </w: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auto"/>
                <w:w w:val="96"/>
              </w:rPr>
              <w:t>3/15/2018</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3"/>
                <w:szCs w:val="13"/>
                <w:color w:val="auto"/>
              </w:rPr>
              <w:t>12,315</w:t>
            </w:r>
          </w:p>
        </w:tc>
        <w:tc>
          <w:tcPr>
            <w:tcW w:w="280" w:type="dxa"/>
            <w:vAlign w:val="bottom"/>
          </w:tcPr>
          <w:p>
            <w:pPr>
              <w:spacing w:after="0" w:line="123" w:lineRule="exact"/>
              <w:rPr>
                <w:sz w:val="20"/>
                <w:szCs w:val="20"/>
                <w:color w:val="auto"/>
              </w:rPr>
            </w:pPr>
            <w:r>
              <w:rPr>
                <w:rFonts w:ascii="Arial" w:cs="Arial" w:eastAsia="Arial" w:hAnsi="Arial"/>
                <w:sz w:val="13"/>
                <w:szCs w:val="13"/>
                <w:color w:val="auto"/>
              </w:rPr>
              <w:t>(b)</w:t>
            </w:r>
          </w:p>
        </w:tc>
        <w:tc>
          <w:tcPr>
            <w:tcW w:w="920" w:type="dxa"/>
            <w:vAlign w:val="bottom"/>
          </w:tcPr>
          <w:p>
            <w:pPr>
              <w:jc w:val="center"/>
              <w:spacing w:after="0" w:line="123" w:lineRule="exact"/>
              <w:rPr>
                <w:sz w:val="20"/>
                <w:szCs w:val="20"/>
                <w:color w:val="auto"/>
              </w:rPr>
            </w:pPr>
            <w:r>
              <w:rPr>
                <w:rFonts w:ascii="Arial" w:cs="Arial" w:eastAsia="Arial" w:hAnsi="Arial"/>
                <w:sz w:val="13"/>
                <w:szCs w:val="13"/>
                <w:color w:val="auto"/>
                <w:w w:val="97"/>
              </w:rPr>
              <w:t>276,841</w:t>
            </w:r>
          </w:p>
        </w:tc>
        <w:tc>
          <w:tcPr>
            <w:tcW w:w="980" w:type="dxa"/>
            <w:vAlign w:val="bottom"/>
          </w:tcPr>
          <w:p>
            <w:pPr>
              <w:jc w:val="right"/>
              <w:spacing w:after="0" w:line="123" w:lineRule="exact"/>
              <w:rPr>
                <w:sz w:val="20"/>
                <w:szCs w:val="20"/>
                <w:color w:val="auto"/>
              </w:rPr>
            </w:pPr>
            <w:r>
              <w:rPr>
                <w:rFonts w:ascii="Arial" w:cs="Arial" w:eastAsia="Arial" w:hAnsi="Arial"/>
                <w:sz w:val="13"/>
                <w:szCs w:val="13"/>
                <w:color w:val="auto"/>
              </w:rPr>
              <w:t>12,315</w:t>
            </w:r>
          </w:p>
        </w:tc>
        <w:tc>
          <w:tcPr>
            <w:tcW w:w="280" w:type="dxa"/>
            <w:vAlign w:val="bottom"/>
          </w:tcPr>
          <w:p>
            <w:pPr>
              <w:spacing w:after="0" w:line="123" w:lineRule="exact"/>
              <w:rPr>
                <w:sz w:val="20"/>
                <w:szCs w:val="20"/>
                <w:color w:val="auto"/>
              </w:rPr>
            </w:pPr>
            <w:r>
              <w:rPr>
                <w:rFonts w:ascii="Arial" w:cs="Arial" w:eastAsia="Arial" w:hAnsi="Arial"/>
                <w:sz w:val="13"/>
                <w:szCs w:val="13"/>
                <w:color w:val="auto"/>
              </w:rPr>
              <w:t>(f)</w:t>
            </w:r>
          </w:p>
        </w:tc>
        <w:tc>
          <w:tcPr>
            <w:tcW w:w="900" w:type="dxa"/>
            <w:vAlign w:val="bottom"/>
          </w:tcPr>
          <w:p>
            <w:pPr>
              <w:jc w:val="right"/>
              <w:spacing w:after="0" w:line="123" w:lineRule="exact"/>
              <w:rPr>
                <w:sz w:val="20"/>
                <w:szCs w:val="20"/>
                <w:color w:val="auto"/>
              </w:rPr>
            </w:pPr>
            <w:r>
              <w:rPr>
                <w:rFonts w:ascii="Arial" w:cs="Arial" w:eastAsia="Arial" w:hAnsi="Arial"/>
                <w:sz w:val="13"/>
                <w:szCs w:val="13"/>
                <w:color w:val="auto"/>
              </w:rPr>
              <w:t>276,841</w:t>
            </w:r>
          </w:p>
        </w:tc>
        <w:tc>
          <w:tcPr>
            <w:tcW w:w="20" w:type="dxa"/>
            <w:vAlign w:val="bottom"/>
          </w:tcPr>
          <w:p>
            <w:pPr>
              <w:spacing w:after="0"/>
              <w:rPr>
                <w:sz w:val="10"/>
                <w:szCs w:val="10"/>
                <w:color w:val="auto"/>
              </w:rPr>
            </w:pPr>
          </w:p>
        </w:tc>
      </w:tr>
      <w:tr>
        <w:trPr>
          <w:trHeight w:val="135"/>
        </w:trPr>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6"/>
              </w:rPr>
              <w:t>9/19/2017</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23,199</w:t>
            </w:r>
          </w:p>
        </w:tc>
        <w:tc>
          <w:tcPr>
            <w:tcW w:w="280" w:type="dxa"/>
            <w:vAlign w:val="bottom"/>
          </w:tcPr>
          <w:p>
            <w:pPr>
              <w:spacing w:after="0" w:line="135" w:lineRule="exact"/>
              <w:rPr>
                <w:sz w:val="20"/>
                <w:szCs w:val="20"/>
                <w:color w:val="auto"/>
              </w:rPr>
            </w:pPr>
            <w:r>
              <w:rPr>
                <w:rFonts w:ascii="Arial" w:cs="Arial" w:eastAsia="Arial" w:hAnsi="Arial"/>
                <w:sz w:val="13"/>
                <w:szCs w:val="13"/>
                <w:color w:val="auto"/>
              </w:rPr>
              <w:t>(c)</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7"/>
              </w:rPr>
              <w:t>521,514</w:t>
            </w: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8"/>
              </w:rPr>
              <w:t>3/1/2017</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11,625</w:t>
            </w:r>
          </w:p>
        </w:tc>
        <w:tc>
          <w:tcPr>
            <w:tcW w:w="280" w:type="dxa"/>
            <w:vAlign w:val="bottom"/>
          </w:tcPr>
          <w:p>
            <w:pPr>
              <w:spacing w:after="0" w:line="135" w:lineRule="exact"/>
              <w:rPr>
                <w:sz w:val="20"/>
                <w:szCs w:val="20"/>
                <w:color w:val="auto"/>
              </w:rPr>
            </w:pPr>
            <w:r>
              <w:rPr>
                <w:rFonts w:ascii="Arial" w:cs="Arial" w:eastAsia="Arial" w:hAnsi="Arial"/>
                <w:sz w:val="13"/>
                <w:szCs w:val="13"/>
                <w:color w:val="auto"/>
              </w:rPr>
              <w:t>(d)</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7"/>
              </w:rPr>
              <w:t>261,330</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17,437</w:t>
            </w:r>
          </w:p>
        </w:tc>
        <w:tc>
          <w:tcPr>
            <w:tcW w:w="280" w:type="dxa"/>
            <w:vAlign w:val="bottom"/>
          </w:tcPr>
          <w:p>
            <w:pPr>
              <w:spacing w:after="0" w:line="135" w:lineRule="exact"/>
              <w:rPr>
                <w:sz w:val="20"/>
                <w:szCs w:val="20"/>
                <w:color w:val="auto"/>
              </w:rPr>
            </w:pPr>
            <w:r>
              <w:rPr>
                <w:rFonts w:ascii="Arial" w:cs="Arial" w:eastAsia="Arial" w:hAnsi="Arial"/>
                <w:sz w:val="13"/>
                <w:szCs w:val="13"/>
                <w:color w:val="auto"/>
              </w:rPr>
              <w:t>(g)</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391,984</w:t>
            </w:r>
          </w:p>
        </w:tc>
        <w:tc>
          <w:tcPr>
            <w:tcW w:w="20" w:type="dxa"/>
            <w:vAlign w:val="bottom"/>
          </w:tcPr>
          <w:p>
            <w:pPr>
              <w:spacing w:after="0"/>
              <w:rPr>
                <w:sz w:val="11"/>
                <w:szCs w:val="11"/>
                <w:color w:val="auto"/>
              </w:rPr>
            </w:pPr>
          </w:p>
        </w:tc>
      </w:tr>
      <w:tr>
        <w:trPr>
          <w:trHeight w:val="141"/>
        </w:trPr>
        <w:tc>
          <w:tcPr>
            <w:tcW w:w="9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1/28/2016</w:t>
            </w:r>
          </w:p>
        </w:tc>
        <w:tc>
          <w:tcPr>
            <w:tcW w:w="9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6,440</w:t>
            </w:r>
          </w:p>
        </w:tc>
        <w:tc>
          <w:tcPr>
            <w:tcW w:w="28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(e)</w:t>
            </w:r>
          </w:p>
        </w:tc>
        <w:tc>
          <w:tcPr>
            <w:tcW w:w="9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7"/>
              </w:rPr>
              <w:t>144,771</w:t>
            </w: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19,320</w:t>
            </w:r>
          </w:p>
        </w:tc>
        <w:tc>
          <w:tcPr>
            <w:tcW w:w="28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(h)</w:t>
            </w:r>
          </w:p>
        </w:tc>
        <w:tc>
          <w:tcPr>
            <w:tcW w:w="9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434,314</w:t>
            </w:r>
          </w:p>
        </w:tc>
        <w:tc>
          <w:tcPr>
            <w:tcW w:w="20" w:type="dxa"/>
            <w:vAlign w:val="bottom"/>
          </w:tcPr>
          <w:p>
            <w:pPr>
              <w:spacing w:after="0"/>
              <w:rPr>
                <w:sz w:val="12"/>
                <w:szCs w:val="12"/>
                <w:color w:val="auto"/>
              </w:rPr>
            </w:pPr>
          </w:p>
        </w:tc>
      </w:tr>
      <w:tr>
        <w:trPr>
          <w:trHeight w:val="123"/>
        </w:trPr>
        <w:tc>
          <w:tcPr>
            <w:tcW w:w="900" w:type="dxa"/>
            <w:vAlign w:val="bottom"/>
            <w:shd w:val="clear" w:color="auto" w:fill="CCCCCC"/>
          </w:tcPr>
          <w:p>
            <w:pPr>
              <w:ind w:left="60"/>
              <w:spacing w:after="0" w:line="123" w:lineRule="exact"/>
              <w:rPr>
                <w:sz w:val="20"/>
                <w:szCs w:val="20"/>
                <w:color w:val="auto"/>
              </w:rPr>
            </w:pPr>
            <w:r>
              <w:rPr>
                <w:rFonts w:ascii="Arial" w:cs="Arial" w:eastAsia="Arial" w:hAnsi="Arial"/>
                <w:sz w:val="13"/>
                <w:szCs w:val="13"/>
                <w:color w:val="auto"/>
                <w:w w:val="97"/>
              </w:rPr>
              <w:t>Mr. Servodidio</w:t>
            </w:r>
          </w:p>
        </w:tc>
        <w:tc>
          <w:tcPr>
            <w:tcW w:w="1060" w:type="dxa"/>
            <w:vAlign w:val="bottom"/>
            <w:shd w:val="clear" w:color="auto" w:fill="CCCCCC"/>
          </w:tcPr>
          <w:p>
            <w:pPr>
              <w:jc w:val="center"/>
              <w:spacing w:after="0" w:line="123" w:lineRule="exact"/>
              <w:rPr>
                <w:sz w:val="20"/>
                <w:szCs w:val="20"/>
                <w:color w:val="auto"/>
              </w:rPr>
            </w:pPr>
            <w:r>
              <w:rPr>
                <w:rFonts w:ascii="Arial" w:cs="Arial" w:eastAsia="Arial" w:hAnsi="Arial"/>
                <w:sz w:val="13"/>
                <w:szCs w:val="13"/>
                <w:color w:val="auto"/>
                <w:w w:val="96"/>
              </w:rPr>
              <w:t>3/15/2018</w:t>
            </w:r>
          </w:p>
        </w:tc>
        <w:tc>
          <w:tcPr>
            <w:tcW w:w="960" w:type="dxa"/>
            <w:vAlign w:val="bottom"/>
            <w:shd w:val="clear" w:color="auto" w:fill="CCCCCC"/>
          </w:tcPr>
          <w:p>
            <w:pPr>
              <w:spacing w:after="0"/>
              <w:rPr>
                <w:sz w:val="10"/>
                <w:szCs w:val="10"/>
                <w:color w:val="auto"/>
              </w:rPr>
            </w:pPr>
          </w:p>
        </w:tc>
        <w:tc>
          <w:tcPr>
            <w:tcW w:w="1120" w:type="dxa"/>
            <w:vAlign w:val="bottom"/>
            <w:shd w:val="clear" w:color="auto" w:fill="CCCCCC"/>
          </w:tcPr>
          <w:p>
            <w:pPr>
              <w:spacing w:after="0"/>
              <w:rPr>
                <w:sz w:val="10"/>
                <w:szCs w:val="10"/>
                <w:color w:val="auto"/>
              </w:rPr>
            </w:pPr>
          </w:p>
        </w:tc>
        <w:tc>
          <w:tcPr>
            <w:tcW w:w="1140" w:type="dxa"/>
            <w:vAlign w:val="bottom"/>
            <w:shd w:val="clear" w:color="auto" w:fill="CCCCCC"/>
          </w:tcPr>
          <w:p>
            <w:pPr>
              <w:spacing w:after="0"/>
              <w:rPr>
                <w:sz w:val="10"/>
                <w:szCs w:val="10"/>
                <w:color w:val="auto"/>
              </w:rPr>
            </w:pPr>
          </w:p>
        </w:tc>
        <w:tc>
          <w:tcPr>
            <w:tcW w:w="900" w:type="dxa"/>
            <w:vAlign w:val="bottom"/>
            <w:shd w:val="clear" w:color="auto" w:fill="CCCCCC"/>
          </w:tcPr>
          <w:p>
            <w:pPr>
              <w:spacing w:after="0"/>
              <w:rPr>
                <w:sz w:val="10"/>
                <w:szCs w:val="10"/>
                <w:color w:val="auto"/>
              </w:rPr>
            </w:pPr>
          </w:p>
        </w:tc>
        <w:tc>
          <w:tcPr>
            <w:tcW w:w="960" w:type="dxa"/>
            <w:vAlign w:val="bottom"/>
            <w:shd w:val="clear" w:color="auto" w:fill="CCCCCC"/>
          </w:tcPr>
          <w:p>
            <w:pPr>
              <w:spacing w:after="0"/>
              <w:rPr>
                <w:sz w:val="10"/>
                <w:szCs w:val="10"/>
                <w:color w:val="auto"/>
              </w:rPr>
            </w:pPr>
          </w:p>
        </w:tc>
        <w:tc>
          <w:tcPr>
            <w:tcW w:w="120" w:type="dxa"/>
            <w:vAlign w:val="bottom"/>
            <w:shd w:val="clear" w:color="auto" w:fill="CCCCCC"/>
          </w:tcPr>
          <w:p>
            <w:pPr>
              <w:spacing w:after="0"/>
              <w:rPr>
                <w:sz w:val="10"/>
                <w:szCs w:val="10"/>
                <w:color w:val="auto"/>
              </w:rPr>
            </w:pPr>
          </w:p>
        </w:tc>
        <w:tc>
          <w:tcPr>
            <w:tcW w:w="900" w:type="dxa"/>
            <w:vAlign w:val="bottom"/>
            <w:shd w:val="clear" w:color="auto" w:fill="CCCCCC"/>
          </w:tcPr>
          <w:p>
            <w:pPr>
              <w:jc w:val="right"/>
              <w:spacing w:after="0" w:line="123" w:lineRule="exact"/>
              <w:rPr>
                <w:sz w:val="20"/>
                <w:szCs w:val="20"/>
                <w:color w:val="auto"/>
              </w:rPr>
            </w:pPr>
            <w:r>
              <w:rPr>
                <w:rFonts w:ascii="Arial" w:cs="Arial" w:eastAsia="Arial" w:hAnsi="Arial"/>
                <w:sz w:val="13"/>
                <w:szCs w:val="13"/>
                <w:color w:val="auto"/>
              </w:rPr>
              <w:t>12,315</w:t>
            </w:r>
          </w:p>
        </w:tc>
        <w:tc>
          <w:tcPr>
            <w:tcW w:w="280" w:type="dxa"/>
            <w:vAlign w:val="bottom"/>
            <w:shd w:val="clear" w:color="auto" w:fill="CCCCCC"/>
          </w:tcPr>
          <w:p>
            <w:pPr>
              <w:spacing w:after="0" w:line="123" w:lineRule="exact"/>
              <w:rPr>
                <w:sz w:val="20"/>
                <w:szCs w:val="20"/>
                <w:color w:val="auto"/>
              </w:rPr>
            </w:pPr>
            <w:r>
              <w:rPr>
                <w:rFonts w:ascii="Arial" w:cs="Arial" w:eastAsia="Arial" w:hAnsi="Arial"/>
                <w:sz w:val="13"/>
                <w:szCs w:val="13"/>
                <w:color w:val="auto"/>
              </w:rPr>
              <w:t>(b)</w:t>
            </w:r>
          </w:p>
        </w:tc>
        <w:tc>
          <w:tcPr>
            <w:tcW w:w="920" w:type="dxa"/>
            <w:vAlign w:val="bottom"/>
            <w:shd w:val="clear" w:color="auto" w:fill="CCCCCC"/>
          </w:tcPr>
          <w:p>
            <w:pPr>
              <w:jc w:val="center"/>
              <w:spacing w:after="0" w:line="123" w:lineRule="exact"/>
              <w:rPr>
                <w:sz w:val="20"/>
                <w:szCs w:val="20"/>
                <w:color w:val="auto"/>
              </w:rPr>
            </w:pPr>
            <w:r>
              <w:rPr>
                <w:rFonts w:ascii="Arial" w:cs="Arial" w:eastAsia="Arial" w:hAnsi="Arial"/>
                <w:sz w:val="13"/>
                <w:szCs w:val="13"/>
                <w:color w:val="auto"/>
                <w:w w:val="97"/>
              </w:rPr>
              <w:t>276,841</w:t>
            </w:r>
          </w:p>
        </w:tc>
        <w:tc>
          <w:tcPr>
            <w:tcW w:w="980" w:type="dxa"/>
            <w:vAlign w:val="bottom"/>
            <w:shd w:val="clear" w:color="auto" w:fill="CCCCCC"/>
          </w:tcPr>
          <w:p>
            <w:pPr>
              <w:jc w:val="right"/>
              <w:spacing w:after="0" w:line="123" w:lineRule="exact"/>
              <w:rPr>
                <w:sz w:val="20"/>
                <w:szCs w:val="20"/>
                <w:color w:val="auto"/>
              </w:rPr>
            </w:pPr>
            <w:r>
              <w:rPr>
                <w:rFonts w:ascii="Arial" w:cs="Arial" w:eastAsia="Arial" w:hAnsi="Arial"/>
                <w:sz w:val="13"/>
                <w:szCs w:val="13"/>
                <w:color w:val="auto"/>
              </w:rPr>
              <w:t>12,315</w:t>
            </w:r>
          </w:p>
        </w:tc>
        <w:tc>
          <w:tcPr>
            <w:tcW w:w="280" w:type="dxa"/>
            <w:vAlign w:val="bottom"/>
            <w:shd w:val="clear" w:color="auto" w:fill="CCCCCC"/>
          </w:tcPr>
          <w:p>
            <w:pPr>
              <w:spacing w:after="0" w:line="123" w:lineRule="exact"/>
              <w:rPr>
                <w:sz w:val="20"/>
                <w:szCs w:val="20"/>
                <w:color w:val="auto"/>
              </w:rPr>
            </w:pPr>
            <w:r>
              <w:rPr>
                <w:rFonts w:ascii="Arial" w:cs="Arial" w:eastAsia="Arial" w:hAnsi="Arial"/>
                <w:sz w:val="13"/>
                <w:szCs w:val="13"/>
                <w:color w:val="auto"/>
              </w:rPr>
              <w:t>(f)</w:t>
            </w:r>
          </w:p>
        </w:tc>
        <w:tc>
          <w:tcPr>
            <w:tcW w:w="900" w:type="dxa"/>
            <w:vAlign w:val="bottom"/>
            <w:shd w:val="clear" w:color="auto" w:fill="CCCCCC"/>
          </w:tcPr>
          <w:p>
            <w:pPr>
              <w:jc w:val="right"/>
              <w:spacing w:after="0" w:line="123" w:lineRule="exact"/>
              <w:rPr>
                <w:sz w:val="20"/>
                <w:szCs w:val="20"/>
                <w:color w:val="auto"/>
              </w:rPr>
            </w:pPr>
            <w:r>
              <w:rPr>
                <w:rFonts w:ascii="Arial" w:cs="Arial" w:eastAsia="Arial" w:hAnsi="Arial"/>
                <w:sz w:val="13"/>
                <w:szCs w:val="13"/>
                <w:color w:val="auto"/>
              </w:rPr>
              <w:t>276,841</w:t>
            </w:r>
          </w:p>
        </w:tc>
        <w:tc>
          <w:tcPr>
            <w:tcW w:w="20" w:type="dxa"/>
            <w:vAlign w:val="bottom"/>
          </w:tcPr>
          <w:p>
            <w:pPr>
              <w:spacing w:after="0"/>
              <w:rPr>
                <w:sz w:val="10"/>
                <w:szCs w:val="10"/>
                <w:color w:val="auto"/>
              </w:rPr>
            </w:pPr>
          </w:p>
        </w:tc>
      </w:tr>
      <w:tr>
        <w:trPr>
          <w:trHeight w:val="135"/>
        </w:trPr>
        <w:tc>
          <w:tcPr>
            <w:tcW w:w="900" w:type="dxa"/>
            <w:vAlign w:val="bottom"/>
            <w:shd w:val="clear" w:color="auto" w:fill="CCCCCC"/>
          </w:tcPr>
          <w:p>
            <w:pPr>
              <w:spacing w:after="0"/>
              <w:rPr>
                <w:sz w:val="11"/>
                <w:szCs w:val="11"/>
                <w:color w:val="auto"/>
              </w:rPr>
            </w:pPr>
          </w:p>
        </w:tc>
        <w:tc>
          <w:tcPr>
            <w:tcW w:w="106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6"/>
              </w:rPr>
              <w:t>9/19/2017</w:t>
            </w:r>
          </w:p>
        </w:tc>
        <w:tc>
          <w:tcPr>
            <w:tcW w:w="96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9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0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8,870</w:t>
            </w:r>
          </w:p>
        </w:tc>
        <w:tc>
          <w:tcPr>
            <w:tcW w:w="280" w:type="dxa"/>
            <w:vAlign w:val="bottom"/>
            <w:shd w:val="clear" w:color="auto" w:fill="CCCCCC"/>
          </w:tcPr>
          <w:p>
            <w:pPr>
              <w:spacing w:after="0" w:line="135" w:lineRule="exact"/>
              <w:rPr>
                <w:sz w:val="20"/>
                <w:szCs w:val="20"/>
                <w:color w:val="auto"/>
              </w:rPr>
            </w:pPr>
            <w:r>
              <w:rPr>
                <w:rFonts w:ascii="Arial" w:cs="Arial" w:eastAsia="Arial" w:hAnsi="Arial"/>
                <w:sz w:val="13"/>
                <w:szCs w:val="13"/>
                <w:color w:val="auto"/>
              </w:rPr>
              <w:t>(c)</w:t>
            </w:r>
          </w:p>
        </w:tc>
        <w:tc>
          <w:tcPr>
            <w:tcW w:w="92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7"/>
              </w:rPr>
              <w:t>199,398</w:t>
            </w:r>
          </w:p>
        </w:tc>
        <w:tc>
          <w:tcPr>
            <w:tcW w:w="980" w:type="dxa"/>
            <w:vAlign w:val="bottom"/>
            <w:shd w:val="clear" w:color="auto" w:fill="CCCCCC"/>
          </w:tcPr>
          <w:p>
            <w:pPr>
              <w:spacing w:after="0"/>
              <w:rPr>
                <w:sz w:val="11"/>
                <w:szCs w:val="11"/>
                <w:color w:val="auto"/>
              </w:rPr>
            </w:pPr>
          </w:p>
        </w:tc>
        <w:tc>
          <w:tcPr>
            <w:tcW w:w="28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900" w:type="dxa"/>
            <w:vAlign w:val="bottom"/>
            <w:shd w:val="clear" w:color="auto" w:fill="CCCCCC"/>
          </w:tcPr>
          <w:p>
            <w:pPr>
              <w:spacing w:after="0"/>
              <w:rPr>
                <w:sz w:val="11"/>
                <w:szCs w:val="11"/>
                <w:color w:val="auto"/>
              </w:rPr>
            </w:pPr>
          </w:p>
        </w:tc>
        <w:tc>
          <w:tcPr>
            <w:tcW w:w="106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8"/>
              </w:rPr>
              <w:t>3/1/2017</w:t>
            </w:r>
          </w:p>
        </w:tc>
        <w:tc>
          <w:tcPr>
            <w:tcW w:w="96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rPr>
                <w:sz w:val="11"/>
                <w:szCs w:val="11"/>
                <w:color w:val="auto"/>
              </w:rPr>
            </w:pPr>
          </w:p>
        </w:tc>
        <w:tc>
          <w:tcPr>
            <w:tcW w:w="114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960" w:type="dxa"/>
            <w:vAlign w:val="bottom"/>
            <w:shd w:val="clear" w:color="auto" w:fill="CCCCCC"/>
          </w:tcPr>
          <w:p>
            <w:pPr>
              <w:spacing w:after="0"/>
              <w:rPr>
                <w:sz w:val="11"/>
                <w:szCs w:val="11"/>
                <w:color w:val="auto"/>
              </w:rPr>
            </w:pPr>
          </w:p>
        </w:tc>
        <w:tc>
          <w:tcPr>
            <w:tcW w:w="120" w:type="dxa"/>
            <w:vAlign w:val="bottom"/>
            <w:shd w:val="clear" w:color="auto" w:fill="CCCCCC"/>
          </w:tcPr>
          <w:p>
            <w:pPr>
              <w:spacing w:after="0"/>
              <w:rPr>
                <w:sz w:val="11"/>
                <w:szCs w:val="11"/>
                <w:color w:val="auto"/>
              </w:rPr>
            </w:pPr>
          </w:p>
        </w:tc>
        <w:tc>
          <w:tcPr>
            <w:tcW w:w="90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11,625</w:t>
            </w:r>
          </w:p>
        </w:tc>
        <w:tc>
          <w:tcPr>
            <w:tcW w:w="280" w:type="dxa"/>
            <w:vAlign w:val="bottom"/>
            <w:shd w:val="clear" w:color="auto" w:fill="CCCCCC"/>
          </w:tcPr>
          <w:p>
            <w:pPr>
              <w:spacing w:after="0" w:line="135" w:lineRule="exact"/>
              <w:rPr>
                <w:sz w:val="20"/>
                <w:szCs w:val="20"/>
                <w:color w:val="auto"/>
              </w:rPr>
            </w:pPr>
            <w:r>
              <w:rPr>
                <w:rFonts w:ascii="Arial" w:cs="Arial" w:eastAsia="Arial" w:hAnsi="Arial"/>
                <w:sz w:val="13"/>
                <w:szCs w:val="13"/>
                <w:color w:val="auto"/>
              </w:rPr>
              <w:t>(d)</w:t>
            </w:r>
          </w:p>
        </w:tc>
        <w:tc>
          <w:tcPr>
            <w:tcW w:w="920" w:type="dxa"/>
            <w:vAlign w:val="bottom"/>
            <w:shd w:val="clear" w:color="auto" w:fill="CCCCCC"/>
          </w:tcPr>
          <w:p>
            <w:pPr>
              <w:jc w:val="center"/>
              <w:spacing w:after="0" w:line="135" w:lineRule="exact"/>
              <w:rPr>
                <w:sz w:val="20"/>
                <w:szCs w:val="20"/>
                <w:color w:val="auto"/>
              </w:rPr>
            </w:pPr>
            <w:r>
              <w:rPr>
                <w:rFonts w:ascii="Arial" w:cs="Arial" w:eastAsia="Arial" w:hAnsi="Arial"/>
                <w:sz w:val="13"/>
                <w:szCs w:val="13"/>
                <w:color w:val="auto"/>
                <w:w w:val="97"/>
              </w:rPr>
              <w:t>261,330</w:t>
            </w:r>
          </w:p>
        </w:tc>
        <w:tc>
          <w:tcPr>
            <w:tcW w:w="98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17,437</w:t>
            </w:r>
          </w:p>
        </w:tc>
        <w:tc>
          <w:tcPr>
            <w:tcW w:w="280" w:type="dxa"/>
            <w:vAlign w:val="bottom"/>
            <w:shd w:val="clear" w:color="auto" w:fill="CCCCCC"/>
          </w:tcPr>
          <w:p>
            <w:pPr>
              <w:spacing w:after="0" w:line="135" w:lineRule="exact"/>
              <w:rPr>
                <w:sz w:val="20"/>
                <w:szCs w:val="20"/>
                <w:color w:val="auto"/>
              </w:rPr>
            </w:pPr>
            <w:r>
              <w:rPr>
                <w:rFonts w:ascii="Arial" w:cs="Arial" w:eastAsia="Arial" w:hAnsi="Arial"/>
                <w:sz w:val="13"/>
                <w:szCs w:val="13"/>
                <w:color w:val="auto"/>
              </w:rPr>
              <w:t>(g)</w:t>
            </w:r>
          </w:p>
        </w:tc>
        <w:tc>
          <w:tcPr>
            <w:tcW w:w="900" w:type="dxa"/>
            <w:vAlign w:val="bottom"/>
            <w:shd w:val="clear" w:color="auto" w:fill="CCCCCC"/>
          </w:tcPr>
          <w:p>
            <w:pPr>
              <w:jc w:val="right"/>
              <w:spacing w:after="0" w:line="135" w:lineRule="exact"/>
              <w:rPr>
                <w:sz w:val="20"/>
                <w:szCs w:val="20"/>
                <w:color w:val="auto"/>
              </w:rPr>
            </w:pPr>
            <w:r>
              <w:rPr>
                <w:rFonts w:ascii="Arial" w:cs="Arial" w:eastAsia="Arial" w:hAnsi="Arial"/>
                <w:sz w:val="13"/>
                <w:szCs w:val="13"/>
                <w:color w:val="auto"/>
              </w:rPr>
              <w:t>391,984</w:t>
            </w:r>
          </w:p>
        </w:tc>
        <w:tc>
          <w:tcPr>
            <w:tcW w:w="20" w:type="dxa"/>
            <w:vAlign w:val="bottom"/>
          </w:tcPr>
          <w:p>
            <w:pPr>
              <w:spacing w:after="0"/>
              <w:rPr>
                <w:sz w:val="11"/>
                <w:szCs w:val="11"/>
                <w:color w:val="auto"/>
              </w:rPr>
            </w:pPr>
          </w:p>
        </w:tc>
      </w:tr>
      <w:tr>
        <w:trPr>
          <w:trHeight w:val="141"/>
        </w:trPr>
        <w:tc>
          <w:tcPr>
            <w:tcW w:w="900" w:type="dxa"/>
            <w:vAlign w:val="bottom"/>
            <w:tcBorders>
              <w:bottom w:val="single" w:sz="8" w:color="auto"/>
            </w:tcBorders>
            <w:shd w:val="clear" w:color="auto" w:fill="CCCCCC"/>
          </w:tcPr>
          <w:p>
            <w:pPr>
              <w:spacing w:after="0"/>
              <w:rPr>
                <w:sz w:val="12"/>
                <w:szCs w:val="12"/>
                <w:color w:val="auto"/>
              </w:rPr>
            </w:pPr>
          </w:p>
        </w:tc>
        <w:tc>
          <w:tcPr>
            <w:tcW w:w="1060" w:type="dxa"/>
            <w:vAlign w:val="bottom"/>
            <w:tcBorders>
              <w:bottom w:val="single" w:sz="8" w:color="auto"/>
            </w:tcBorders>
            <w:shd w:val="clear" w:color="auto" w:fill="CCCCCC"/>
          </w:tcPr>
          <w:p>
            <w:pPr>
              <w:jc w:val="center"/>
              <w:spacing w:after="0" w:line="141" w:lineRule="exact"/>
              <w:rPr>
                <w:sz w:val="20"/>
                <w:szCs w:val="20"/>
                <w:color w:val="auto"/>
              </w:rPr>
            </w:pPr>
            <w:r>
              <w:rPr>
                <w:rFonts w:ascii="Arial" w:cs="Arial" w:eastAsia="Arial" w:hAnsi="Arial"/>
                <w:sz w:val="13"/>
                <w:szCs w:val="13"/>
                <w:color w:val="auto"/>
                <w:w w:val="96"/>
              </w:rPr>
              <w:t>1/28/2016</w:t>
            </w:r>
          </w:p>
        </w:tc>
        <w:tc>
          <w:tcPr>
            <w:tcW w:w="960" w:type="dxa"/>
            <w:vAlign w:val="bottom"/>
            <w:tcBorders>
              <w:bottom w:val="single" w:sz="8" w:color="auto"/>
            </w:tcBorders>
            <w:shd w:val="clear" w:color="auto" w:fill="CCCCCC"/>
          </w:tcPr>
          <w:p>
            <w:pPr>
              <w:spacing w:after="0"/>
              <w:rPr>
                <w:sz w:val="12"/>
                <w:szCs w:val="12"/>
                <w:color w:val="auto"/>
              </w:rPr>
            </w:pPr>
          </w:p>
        </w:tc>
        <w:tc>
          <w:tcPr>
            <w:tcW w:w="1120" w:type="dxa"/>
            <w:vAlign w:val="bottom"/>
            <w:tcBorders>
              <w:bottom w:val="single" w:sz="8" w:color="auto"/>
            </w:tcBorders>
            <w:shd w:val="clear" w:color="auto" w:fill="CCCCCC"/>
          </w:tcPr>
          <w:p>
            <w:pPr>
              <w:spacing w:after="0"/>
              <w:rPr>
                <w:sz w:val="12"/>
                <w:szCs w:val="12"/>
                <w:color w:val="auto"/>
              </w:rPr>
            </w:pPr>
          </w:p>
        </w:tc>
        <w:tc>
          <w:tcPr>
            <w:tcW w:w="114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960" w:type="dxa"/>
            <w:vAlign w:val="bottom"/>
            <w:tcBorders>
              <w:bottom w:val="single" w:sz="8" w:color="auto"/>
            </w:tcBorders>
            <w:shd w:val="clear" w:color="auto" w:fill="CCCCCC"/>
          </w:tcPr>
          <w:p>
            <w:pPr>
              <w:spacing w:after="0"/>
              <w:rPr>
                <w:sz w:val="12"/>
                <w:szCs w:val="12"/>
                <w:color w:val="auto"/>
              </w:rPr>
            </w:pPr>
          </w:p>
        </w:tc>
        <w:tc>
          <w:tcPr>
            <w:tcW w:w="12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6,440</w:t>
            </w:r>
          </w:p>
        </w:tc>
        <w:tc>
          <w:tcPr>
            <w:tcW w:w="280" w:type="dxa"/>
            <w:vAlign w:val="bottom"/>
            <w:tcBorders>
              <w:bottom w:val="single" w:sz="8" w:color="auto"/>
            </w:tcBorders>
            <w:shd w:val="clear" w:color="auto" w:fill="CCCCCC"/>
          </w:tcPr>
          <w:p>
            <w:pPr>
              <w:spacing w:after="0" w:line="141" w:lineRule="exact"/>
              <w:rPr>
                <w:sz w:val="20"/>
                <w:szCs w:val="20"/>
                <w:color w:val="auto"/>
              </w:rPr>
            </w:pPr>
            <w:r>
              <w:rPr>
                <w:rFonts w:ascii="Arial" w:cs="Arial" w:eastAsia="Arial" w:hAnsi="Arial"/>
                <w:sz w:val="13"/>
                <w:szCs w:val="13"/>
                <w:color w:val="auto"/>
              </w:rPr>
              <w:t>(e)</w:t>
            </w:r>
          </w:p>
        </w:tc>
        <w:tc>
          <w:tcPr>
            <w:tcW w:w="920" w:type="dxa"/>
            <w:vAlign w:val="bottom"/>
            <w:tcBorders>
              <w:bottom w:val="single" w:sz="8" w:color="auto"/>
            </w:tcBorders>
            <w:shd w:val="clear" w:color="auto" w:fill="CCCCCC"/>
          </w:tcPr>
          <w:p>
            <w:pPr>
              <w:jc w:val="center"/>
              <w:spacing w:after="0" w:line="141" w:lineRule="exact"/>
              <w:rPr>
                <w:sz w:val="20"/>
                <w:szCs w:val="20"/>
                <w:color w:val="auto"/>
              </w:rPr>
            </w:pPr>
            <w:r>
              <w:rPr>
                <w:rFonts w:ascii="Arial" w:cs="Arial" w:eastAsia="Arial" w:hAnsi="Arial"/>
                <w:sz w:val="13"/>
                <w:szCs w:val="13"/>
                <w:color w:val="auto"/>
                <w:w w:val="97"/>
              </w:rPr>
              <w:t>144,741</w:t>
            </w:r>
          </w:p>
        </w:tc>
        <w:tc>
          <w:tcPr>
            <w:tcW w:w="98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19,320</w:t>
            </w:r>
          </w:p>
        </w:tc>
        <w:tc>
          <w:tcPr>
            <w:tcW w:w="280" w:type="dxa"/>
            <w:vAlign w:val="bottom"/>
            <w:tcBorders>
              <w:bottom w:val="single" w:sz="8" w:color="auto"/>
            </w:tcBorders>
            <w:shd w:val="clear" w:color="auto" w:fill="CCCCCC"/>
          </w:tcPr>
          <w:p>
            <w:pPr>
              <w:spacing w:after="0" w:line="141" w:lineRule="exact"/>
              <w:rPr>
                <w:sz w:val="20"/>
                <w:szCs w:val="20"/>
                <w:color w:val="auto"/>
              </w:rPr>
            </w:pPr>
            <w:r>
              <w:rPr>
                <w:rFonts w:ascii="Arial" w:cs="Arial" w:eastAsia="Arial" w:hAnsi="Arial"/>
                <w:sz w:val="13"/>
                <w:szCs w:val="13"/>
                <w:color w:val="auto"/>
              </w:rPr>
              <w:t>(h)</w:t>
            </w:r>
          </w:p>
        </w:tc>
        <w:tc>
          <w:tcPr>
            <w:tcW w:w="90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434,314</w:t>
            </w:r>
          </w:p>
        </w:tc>
        <w:tc>
          <w:tcPr>
            <w:tcW w:w="20" w:type="dxa"/>
            <w:vAlign w:val="bottom"/>
          </w:tcPr>
          <w:p>
            <w:pPr>
              <w:spacing w:after="0"/>
              <w:rPr>
                <w:sz w:val="12"/>
                <w:szCs w:val="12"/>
                <w:color w:val="auto"/>
              </w:rPr>
            </w:pPr>
          </w:p>
        </w:tc>
      </w:tr>
      <w:tr>
        <w:trPr>
          <w:trHeight w:val="123"/>
        </w:trPr>
        <w:tc>
          <w:tcPr>
            <w:tcW w:w="900" w:type="dxa"/>
            <w:vAlign w:val="bottom"/>
          </w:tcPr>
          <w:p>
            <w:pPr>
              <w:ind w:left="60"/>
              <w:spacing w:after="0" w:line="123" w:lineRule="exact"/>
              <w:rPr>
                <w:sz w:val="20"/>
                <w:szCs w:val="20"/>
                <w:color w:val="auto"/>
              </w:rPr>
            </w:pPr>
            <w:r>
              <w:rPr>
                <w:rFonts w:ascii="Arial" w:cs="Arial" w:eastAsia="Arial" w:hAnsi="Arial"/>
                <w:sz w:val="13"/>
                <w:szCs w:val="13"/>
                <w:color w:val="auto"/>
              </w:rPr>
              <w:t>Mr. Tucker</w:t>
            </w:r>
          </w:p>
        </w:tc>
        <w:tc>
          <w:tcPr>
            <w:tcW w:w="1060" w:type="dxa"/>
            <w:vAlign w:val="bottom"/>
          </w:tcPr>
          <w:p>
            <w:pPr>
              <w:jc w:val="center"/>
              <w:spacing w:after="0" w:line="123" w:lineRule="exact"/>
              <w:rPr>
                <w:sz w:val="20"/>
                <w:szCs w:val="20"/>
                <w:color w:val="auto"/>
              </w:rPr>
            </w:pPr>
            <w:r>
              <w:rPr>
                <w:rFonts w:ascii="Arial" w:cs="Arial" w:eastAsia="Arial" w:hAnsi="Arial"/>
                <w:sz w:val="13"/>
                <w:szCs w:val="13"/>
                <w:color w:val="auto"/>
                <w:w w:val="96"/>
              </w:rPr>
              <w:t>3/15/2018</w:t>
            </w: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3"/>
                <w:szCs w:val="13"/>
                <w:color w:val="auto"/>
              </w:rPr>
              <w:t>7,184</w:t>
            </w:r>
          </w:p>
        </w:tc>
        <w:tc>
          <w:tcPr>
            <w:tcW w:w="280" w:type="dxa"/>
            <w:vAlign w:val="bottom"/>
          </w:tcPr>
          <w:p>
            <w:pPr>
              <w:spacing w:after="0" w:line="123" w:lineRule="exact"/>
              <w:rPr>
                <w:sz w:val="20"/>
                <w:szCs w:val="20"/>
                <w:color w:val="auto"/>
              </w:rPr>
            </w:pPr>
            <w:r>
              <w:rPr>
                <w:rFonts w:ascii="Arial" w:cs="Arial" w:eastAsia="Arial" w:hAnsi="Arial"/>
                <w:sz w:val="13"/>
                <w:szCs w:val="13"/>
                <w:color w:val="auto"/>
              </w:rPr>
              <w:t>(b)</w:t>
            </w:r>
          </w:p>
        </w:tc>
        <w:tc>
          <w:tcPr>
            <w:tcW w:w="920" w:type="dxa"/>
            <w:vAlign w:val="bottom"/>
          </w:tcPr>
          <w:p>
            <w:pPr>
              <w:jc w:val="center"/>
              <w:spacing w:after="0" w:line="123" w:lineRule="exact"/>
              <w:rPr>
                <w:sz w:val="20"/>
                <w:szCs w:val="20"/>
                <w:color w:val="auto"/>
              </w:rPr>
            </w:pPr>
            <w:r>
              <w:rPr>
                <w:rFonts w:ascii="Arial" w:cs="Arial" w:eastAsia="Arial" w:hAnsi="Arial"/>
                <w:sz w:val="13"/>
                <w:szCs w:val="13"/>
                <w:color w:val="auto"/>
                <w:w w:val="97"/>
              </w:rPr>
              <w:t>161,496</w:t>
            </w:r>
          </w:p>
        </w:tc>
        <w:tc>
          <w:tcPr>
            <w:tcW w:w="980" w:type="dxa"/>
            <w:vAlign w:val="bottom"/>
          </w:tcPr>
          <w:p>
            <w:pPr>
              <w:jc w:val="right"/>
              <w:spacing w:after="0" w:line="123" w:lineRule="exact"/>
              <w:rPr>
                <w:sz w:val="20"/>
                <w:szCs w:val="20"/>
                <w:color w:val="auto"/>
              </w:rPr>
            </w:pPr>
            <w:r>
              <w:rPr>
                <w:rFonts w:ascii="Arial" w:cs="Arial" w:eastAsia="Arial" w:hAnsi="Arial"/>
                <w:sz w:val="13"/>
                <w:szCs w:val="13"/>
                <w:color w:val="auto"/>
              </w:rPr>
              <w:t>3,079</w:t>
            </w:r>
          </w:p>
        </w:tc>
        <w:tc>
          <w:tcPr>
            <w:tcW w:w="280" w:type="dxa"/>
            <w:vAlign w:val="bottom"/>
          </w:tcPr>
          <w:p>
            <w:pPr>
              <w:spacing w:after="0" w:line="123" w:lineRule="exact"/>
              <w:rPr>
                <w:sz w:val="20"/>
                <w:szCs w:val="20"/>
                <w:color w:val="auto"/>
              </w:rPr>
            </w:pPr>
            <w:r>
              <w:rPr>
                <w:rFonts w:ascii="Arial" w:cs="Arial" w:eastAsia="Arial" w:hAnsi="Arial"/>
                <w:sz w:val="13"/>
                <w:szCs w:val="13"/>
                <w:color w:val="auto"/>
              </w:rPr>
              <w:t>(f)</w:t>
            </w:r>
          </w:p>
        </w:tc>
        <w:tc>
          <w:tcPr>
            <w:tcW w:w="900" w:type="dxa"/>
            <w:vAlign w:val="bottom"/>
          </w:tcPr>
          <w:p>
            <w:pPr>
              <w:jc w:val="right"/>
              <w:spacing w:after="0" w:line="123" w:lineRule="exact"/>
              <w:rPr>
                <w:sz w:val="20"/>
                <w:szCs w:val="20"/>
                <w:color w:val="auto"/>
              </w:rPr>
            </w:pPr>
            <w:r>
              <w:rPr>
                <w:rFonts w:ascii="Arial" w:cs="Arial" w:eastAsia="Arial" w:hAnsi="Arial"/>
                <w:sz w:val="13"/>
                <w:szCs w:val="13"/>
                <w:color w:val="auto"/>
              </w:rPr>
              <w:t>69,216</w:t>
            </w:r>
          </w:p>
        </w:tc>
        <w:tc>
          <w:tcPr>
            <w:tcW w:w="20" w:type="dxa"/>
            <w:vAlign w:val="bottom"/>
          </w:tcPr>
          <w:p>
            <w:pPr>
              <w:spacing w:after="0"/>
              <w:rPr>
                <w:sz w:val="10"/>
                <w:szCs w:val="10"/>
                <w:color w:val="auto"/>
              </w:rPr>
            </w:pPr>
          </w:p>
        </w:tc>
      </w:tr>
      <w:tr>
        <w:trPr>
          <w:trHeight w:val="135"/>
        </w:trPr>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6"/>
              </w:rPr>
              <w:t>9/19/2017</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6,714</w:t>
            </w:r>
          </w:p>
        </w:tc>
        <w:tc>
          <w:tcPr>
            <w:tcW w:w="280" w:type="dxa"/>
            <w:vAlign w:val="bottom"/>
          </w:tcPr>
          <w:p>
            <w:pPr>
              <w:spacing w:after="0" w:line="135" w:lineRule="exact"/>
              <w:rPr>
                <w:sz w:val="20"/>
                <w:szCs w:val="20"/>
                <w:color w:val="auto"/>
              </w:rPr>
            </w:pPr>
            <w:r>
              <w:rPr>
                <w:rFonts w:ascii="Arial" w:cs="Arial" w:eastAsia="Arial" w:hAnsi="Arial"/>
                <w:sz w:val="13"/>
                <w:szCs w:val="13"/>
                <w:color w:val="auto"/>
              </w:rPr>
              <w:t>(c)</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7"/>
              </w:rPr>
              <w:t>150,931</w:t>
            </w: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8"/>
              </w:rPr>
              <w:t>3/1/2017</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6,781</w:t>
            </w:r>
          </w:p>
        </w:tc>
        <w:tc>
          <w:tcPr>
            <w:tcW w:w="280" w:type="dxa"/>
            <w:vAlign w:val="bottom"/>
          </w:tcPr>
          <w:p>
            <w:pPr>
              <w:spacing w:after="0" w:line="135" w:lineRule="exact"/>
              <w:rPr>
                <w:sz w:val="20"/>
                <w:szCs w:val="20"/>
                <w:color w:val="auto"/>
              </w:rPr>
            </w:pPr>
            <w:r>
              <w:rPr>
                <w:rFonts w:ascii="Arial" w:cs="Arial" w:eastAsia="Arial" w:hAnsi="Arial"/>
                <w:sz w:val="13"/>
                <w:szCs w:val="13"/>
                <w:color w:val="auto"/>
              </w:rPr>
              <w:t>(d)</w:t>
            </w:r>
          </w:p>
        </w:tc>
        <w:tc>
          <w:tcPr>
            <w:tcW w:w="920" w:type="dxa"/>
            <w:vAlign w:val="bottom"/>
          </w:tcPr>
          <w:p>
            <w:pPr>
              <w:jc w:val="center"/>
              <w:spacing w:after="0" w:line="135" w:lineRule="exact"/>
              <w:rPr>
                <w:sz w:val="20"/>
                <w:szCs w:val="20"/>
                <w:color w:val="auto"/>
              </w:rPr>
            </w:pPr>
            <w:r>
              <w:rPr>
                <w:rFonts w:ascii="Arial" w:cs="Arial" w:eastAsia="Arial" w:hAnsi="Arial"/>
                <w:sz w:val="13"/>
                <w:szCs w:val="13"/>
                <w:color w:val="auto"/>
                <w:w w:val="97"/>
              </w:rPr>
              <w:t>152,437</w:t>
            </w: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4,359</w:t>
            </w:r>
          </w:p>
        </w:tc>
        <w:tc>
          <w:tcPr>
            <w:tcW w:w="280" w:type="dxa"/>
            <w:vAlign w:val="bottom"/>
          </w:tcPr>
          <w:p>
            <w:pPr>
              <w:spacing w:after="0" w:line="135" w:lineRule="exact"/>
              <w:rPr>
                <w:sz w:val="20"/>
                <w:szCs w:val="20"/>
                <w:color w:val="auto"/>
              </w:rPr>
            </w:pPr>
            <w:r>
              <w:rPr>
                <w:rFonts w:ascii="Arial" w:cs="Arial" w:eastAsia="Arial" w:hAnsi="Arial"/>
                <w:sz w:val="13"/>
                <w:szCs w:val="13"/>
                <w:color w:val="auto"/>
              </w:rPr>
              <w:t>(g)</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97,990</w:t>
            </w:r>
          </w:p>
        </w:tc>
      </w:tr>
      <w:tr>
        <w:trPr>
          <w:trHeight w:val="148"/>
        </w:trPr>
        <w:tc>
          <w:tcPr>
            <w:tcW w:w="9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1/28/2016</w:t>
            </w:r>
          </w:p>
        </w:tc>
        <w:tc>
          <w:tcPr>
            <w:tcW w:w="9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3,607</w:t>
            </w:r>
          </w:p>
        </w:tc>
        <w:tc>
          <w:tcPr>
            <w:tcW w:w="28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(e)</w:t>
            </w:r>
          </w:p>
        </w:tc>
        <w:tc>
          <w:tcPr>
            <w:tcW w:w="92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5"/>
              </w:rPr>
              <w:t>81,085</w:t>
            </w:r>
          </w:p>
        </w:tc>
        <w:tc>
          <w:tcPr>
            <w:tcW w:w="9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4,637</w:t>
            </w:r>
          </w:p>
        </w:tc>
        <w:tc>
          <w:tcPr>
            <w:tcW w:w="28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(h)</w:t>
            </w:r>
          </w:p>
        </w:tc>
        <w:tc>
          <w:tcPr>
            <w:tcW w:w="9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104,240</w:t>
            </w:r>
          </w:p>
        </w:tc>
        <w:tc>
          <w:tcPr>
            <w:tcW w:w="20" w:type="dxa"/>
            <w:vAlign w:val="bottom"/>
            <w:tcBorders>
              <w:bottom w:val="single" w:sz="8" w:color="auto"/>
            </w:tcBorders>
          </w:tcPr>
          <w:p>
            <w:pPr>
              <w:spacing w:after="0"/>
              <w:rPr>
                <w:sz w:val="12"/>
                <w:szCs w:val="12"/>
                <w:color w:val="auto"/>
              </w:rPr>
            </w:pPr>
          </w:p>
        </w:tc>
      </w:tr>
    </w:tbl>
    <w:p>
      <w:pPr>
        <w:spacing w:after="0" w:line="16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Stock awards include RSUs and PSUs. Values are based on the closing price of our Common Stock on December 31, 2018 of $22.48. Notes (b)-(h) are set forth below:</w:t>
      </w:r>
    </w:p>
    <w:p>
      <w:pPr>
        <w:spacing w:after="0" w:line="145"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b w:val="1"/>
          <w:bCs w:val="1"/>
          <w:color w:val="auto"/>
        </w:rPr>
        <w:t>Scheduled Vesting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00" w:type="dxa"/>
            <w:vAlign w:val="bottom"/>
          </w:tcPr>
          <w:p>
            <w:pPr>
              <w:spacing w:after="0"/>
              <w:rPr>
                <w:sz w:val="15"/>
                <w:szCs w:val="15"/>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Award</w:t>
            </w:r>
          </w:p>
        </w:tc>
        <w:tc>
          <w:tcPr>
            <w:tcW w:w="8740" w:type="dxa"/>
            <w:vAlign w:val="bottom"/>
          </w:tcPr>
          <w:p>
            <w:pPr>
              <w:ind w:left="140"/>
              <w:spacing w:after="0"/>
              <w:rPr>
                <w:sz w:val="20"/>
                <w:szCs w:val="20"/>
                <w:color w:val="auto"/>
              </w:rPr>
            </w:pPr>
            <w:r>
              <w:rPr>
                <w:rFonts w:ascii="Arial" w:cs="Arial" w:eastAsia="Arial" w:hAnsi="Arial"/>
                <w:sz w:val="14"/>
                <w:szCs w:val="14"/>
                <w:b w:val="1"/>
                <w:bCs w:val="1"/>
                <w:color w:val="auto"/>
              </w:rPr>
              <w:t>Scheduled Vesting</w:t>
            </w: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(b)</w:t>
            </w:r>
          </w:p>
        </w:tc>
        <w:tc>
          <w:tcPr>
            <w:tcW w:w="900" w:type="dxa"/>
            <w:vAlign w:val="bottom"/>
          </w:tcPr>
          <w:p>
            <w:pPr>
              <w:ind w:left="340"/>
              <w:spacing w:after="0"/>
              <w:rPr>
                <w:sz w:val="20"/>
                <w:szCs w:val="20"/>
                <w:color w:val="auto"/>
              </w:rPr>
            </w:pPr>
            <w:r>
              <w:rPr>
                <w:rFonts w:ascii="Arial" w:cs="Arial" w:eastAsia="Arial" w:hAnsi="Arial"/>
                <w:sz w:val="14"/>
                <w:szCs w:val="14"/>
                <w:color w:val="auto"/>
              </w:rPr>
              <w:t>RSUs</w:t>
            </w:r>
          </w:p>
        </w:tc>
        <w:tc>
          <w:tcPr>
            <w:tcW w:w="8740" w:type="dxa"/>
            <w:vAlign w:val="bottom"/>
          </w:tcPr>
          <w:p>
            <w:pPr>
              <w:ind w:left="140"/>
              <w:spacing w:after="0"/>
              <w:rPr>
                <w:sz w:val="20"/>
                <w:szCs w:val="20"/>
                <w:color w:val="auto"/>
              </w:rPr>
            </w:pPr>
            <w:r>
              <w:rPr>
                <w:rFonts w:ascii="Arial" w:cs="Arial" w:eastAsia="Arial" w:hAnsi="Arial"/>
                <w:sz w:val="14"/>
                <w:szCs w:val="14"/>
                <w:color w:val="auto"/>
              </w:rPr>
              <w:t>Three equal installments on March 15, 2019, 2020 and 2021.</w:t>
            </w: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(c)</w:t>
            </w:r>
          </w:p>
        </w:tc>
        <w:tc>
          <w:tcPr>
            <w:tcW w:w="900" w:type="dxa"/>
            <w:vAlign w:val="bottom"/>
          </w:tcPr>
          <w:p>
            <w:pPr>
              <w:ind w:left="340"/>
              <w:spacing w:after="0"/>
              <w:rPr>
                <w:sz w:val="20"/>
                <w:szCs w:val="20"/>
                <w:color w:val="auto"/>
              </w:rPr>
            </w:pPr>
            <w:r>
              <w:rPr>
                <w:rFonts w:ascii="Arial" w:cs="Arial" w:eastAsia="Arial" w:hAnsi="Arial"/>
                <w:sz w:val="14"/>
                <w:szCs w:val="14"/>
                <w:color w:val="auto"/>
              </w:rPr>
              <w:t>RSUs</w:t>
            </w:r>
          </w:p>
        </w:tc>
        <w:tc>
          <w:tcPr>
            <w:tcW w:w="8740" w:type="dxa"/>
            <w:vAlign w:val="bottom"/>
          </w:tcPr>
          <w:p>
            <w:pPr>
              <w:ind w:left="140"/>
              <w:spacing w:after="0"/>
              <w:rPr>
                <w:sz w:val="20"/>
                <w:szCs w:val="20"/>
                <w:color w:val="auto"/>
              </w:rPr>
            </w:pPr>
            <w:r>
              <w:rPr>
                <w:rFonts w:ascii="Arial" w:cs="Arial" w:eastAsia="Arial" w:hAnsi="Arial"/>
                <w:sz w:val="14"/>
                <w:szCs w:val="14"/>
                <w:color w:val="auto"/>
              </w:rPr>
              <w:t>September 19, 2019.</w:t>
            </w: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(d)</w:t>
            </w:r>
          </w:p>
        </w:tc>
        <w:tc>
          <w:tcPr>
            <w:tcW w:w="900" w:type="dxa"/>
            <w:vAlign w:val="bottom"/>
          </w:tcPr>
          <w:p>
            <w:pPr>
              <w:ind w:left="340"/>
              <w:spacing w:after="0"/>
              <w:rPr>
                <w:sz w:val="20"/>
                <w:szCs w:val="20"/>
                <w:color w:val="auto"/>
              </w:rPr>
            </w:pPr>
            <w:r>
              <w:rPr>
                <w:rFonts w:ascii="Arial" w:cs="Arial" w:eastAsia="Arial" w:hAnsi="Arial"/>
                <w:sz w:val="14"/>
                <w:szCs w:val="14"/>
                <w:color w:val="auto"/>
              </w:rPr>
              <w:t>RSUs</w:t>
            </w:r>
          </w:p>
        </w:tc>
        <w:tc>
          <w:tcPr>
            <w:tcW w:w="8740" w:type="dxa"/>
            <w:vAlign w:val="bottom"/>
          </w:tcPr>
          <w:p>
            <w:pPr>
              <w:ind w:left="140"/>
              <w:spacing w:after="0"/>
              <w:rPr>
                <w:sz w:val="20"/>
                <w:szCs w:val="20"/>
                <w:color w:val="auto"/>
              </w:rPr>
            </w:pPr>
            <w:r>
              <w:rPr>
                <w:rFonts w:ascii="Arial" w:cs="Arial" w:eastAsia="Arial" w:hAnsi="Arial"/>
                <w:sz w:val="14"/>
                <w:szCs w:val="14"/>
                <w:color w:val="auto"/>
              </w:rPr>
              <w:t>Two equal installments on March 1, 2019 and 2020.</w:t>
            </w: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(e)</w:t>
            </w:r>
          </w:p>
        </w:tc>
        <w:tc>
          <w:tcPr>
            <w:tcW w:w="900" w:type="dxa"/>
            <w:vAlign w:val="bottom"/>
          </w:tcPr>
          <w:p>
            <w:pPr>
              <w:ind w:left="340"/>
              <w:spacing w:after="0"/>
              <w:rPr>
                <w:sz w:val="20"/>
                <w:szCs w:val="20"/>
                <w:color w:val="auto"/>
              </w:rPr>
            </w:pPr>
            <w:r>
              <w:rPr>
                <w:rFonts w:ascii="Arial" w:cs="Arial" w:eastAsia="Arial" w:hAnsi="Arial"/>
                <w:sz w:val="14"/>
                <w:szCs w:val="14"/>
                <w:color w:val="auto"/>
              </w:rPr>
              <w:t>RSUs</w:t>
            </w:r>
          </w:p>
        </w:tc>
        <w:tc>
          <w:tcPr>
            <w:tcW w:w="8740" w:type="dxa"/>
            <w:vAlign w:val="bottom"/>
          </w:tcPr>
          <w:p>
            <w:pPr>
              <w:ind w:left="140"/>
              <w:spacing w:after="0"/>
              <w:rPr>
                <w:sz w:val="20"/>
                <w:szCs w:val="20"/>
                <w:color w:val="auto"/>
              </w:rPr>
            </w:pPr>
            <w:r>
              <w:rPr>
                <w:rFonts w:ascii="Arial" w:cs="Arial" w:eastAsia="Arial" w:hAnsi="Arial"/>
                <w:sz w:val="14"/>
                <w:szCs w:val="14"/>
                <w:color w:val="auto"/>
              </w:rPr>
              <w:t>January 28, 2019.</w:t>
            </w: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(f)</w:t>
            </w:r>
          </w:p>
        </w:tc>
        <w:tc>
          <w:tcPr>
            <w:tcW w:w="900" w:type="dxa"/>
            <w:vAlign w:val="bottom"/>
          </w:tcPr>
          <w:p>
            <w:pPr>
              <w:ind w:left="340"/>
              <w:spacing w:after="0"/>
              <w:rPr>
                <w:sz w:val="20"/>
                <w:szCs w:val="20"/>
                <w:color w:val="auto"/>
              </w:rPr>
            </w:pPr>
            <w:r>
              <w:rPr>
                <w:rFonts w:ascii="Arial" w:cs="Arial" w:eastAsia="Arial" w:hAnsi="Arial"/>
                <w:sz w:val="14"/>
                <w:szCs w:val="14"/>
                <w:color w:val="auto"/>
              </w:rPr>
              <w:t>PSUs</w:t>
            </w:r>
          </w:p>
        </w:tc>
        <w:tc>
          <w:tcPr>
            <w:tcW w:w="8740" w:type="dxa"/>
            <w:vAlign w:val="bottom"/>
          </w:tcPr>
          <w:p>
            <w:pPr>
              <w:ind w:left="140"/>
              <w:spacing w:after="0"/>
              <w:rPr>
                <w:sz w:val="20"/>
                <w:szCs w:val="20"/>
                <w:color w:val="auto"/>
              </w:rPr>
            </w:pPr>
            <w:r>
              <w:rPr>
                <w:rFonts w:ascii="Arial" w:cs="Arial" w:eastAsia="Arial" w:hAnsi="Arial"/>
                <w:sz w:val="14"/>
                <w:szCs w:val="14"/>
                <w:color w:val="auto"/>
              </w:rPr>
              <w:t>March 15, 2021 based on three-year cumulative Adjusted EBITDA performance.</w:t>
            </w: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(g)</w:t>
            </w:r>
          </w:p>
        </w:tc>
        <w:tc>
          <w:tcPr>
            <w:tcW w:w="900" w:type="dxa"/>
            <w:vAlign w:val="bottom"/>
          </w:tcPr>
          <w:p>
            <w:pPr>
              <w:ind w:left="340"/>
              <w:spacing w:after="0"/>
              <w:rPr>
                <w:sz w:val="20"/>
                <w:szCs w:val="20"/>
                <w:color w:val="auto"/>
              </w:rPr>
            </w:pPr>
            <w:r>
              <w:rPr>
                <w:rFonts w:ascii="Arial" w:cs="Arial" w:eastAsia="Arial" w:hAnsi="Arial"/>
                <w:sz w:val="14"/>
                <w:szCs w:val="14"/>
                <w:color w:val="auto"/>
              </w:rPr>
              <w:t>PSUs</w:t>
            </w:r>
          </w:p>
        </w:tc>
        <w:tc>
          <w:tcPr>
            <w:tcW w:w="8740" w:type="dxa"/>
            <w:vAlign w:val="bottom"/>
          </w:tcPr>
          <w:p>
            <w:pPr>
              <w:ind w:left="140"/>
              <w:spacing w:after="0"/>
              <w:rPr>
                <w:sz w:val="20"/>
                <w:szCs w:val="20"/>
                <w:color w:val="auto"/>
              </w:rPr>
            </w:pPr>
            <w:r>
              <w:rPr>
                <w:rFonts w:ascii="Arial" w:cs="Arial" w:eastAsia="Arial" w:hAnsi="Arial"/>
                <w:sz w:val="14"/>
                <w:szCs w:val="14"/>
                <w:color w:val="auto"/>
              </w:rPr>
              <w:t>March 1, 2020 based on Adjusted EBITDA Margin performance during the three-year performance period.</w:t>
            </w:r>
          </w:p>
        </w:tc>
      </w:tr>
      <w:tr>
        <w:trPr>
          <w:trHeight w:val="172"/>
        </w:trPr>
        <w:tc>
          <w:tcPr>
            <w:tcW w:w="500" w:type="dxa"/>
            <w:vAlign w:val="bottom"/>
          </w:tcPr>
          <w:p>
            <w:pPr>
              <w:spacing w:after="0"/>
              <w:rPr>
                <w:sz w:val="20"/>
                <w:szCs w:val="20"/>
                <w:color w:val="auto"/>
              </w:rPr>
            </w:pPr>
            <w:r>
              <w:rPr>
                <w:rFonts w:ascii="Arial" w:cs="Arial" w:eastAsia="Arial" w:hAnsi="Arial"/>
                <w:sz w:val="14"/>
                <w:szCs w:val="14"/>
                <w:color w:val="auto"/>
              </w:rPr>
              <w:t>(h)</w:t>
            </w:r>
          </w:p>
        </w:tc>
        <w:tc>
          <w:tcPr>
            <w:tcW w:w="900" w:type="dxa"/>
            <w:vAlign w:val="bottom"/>
          </w:tcPr>
          <w:p>
            <w:pPr>
              <w:ind w:left="340"/>
              <w:spacing w:after="0"/>
              <w:rPr>
                <w:sz w:val="20"/>
                <w:szCs w:val="20"/>
                <w:color w:val="auto"/>
              </w:rPr>
            </w:pPr>
            <w:r>
              <w:rPr>
                <w:rFonts w:ascii="Arial" w:cs="Arial" w:eastAsia="Arial" w:hAnsi="Arial"/>
                <w:sz w:val="14"/>
                <w:szCs w:val="14"/>
                <w:color w:val="auto"/>
              </w:rPr>
              <w:t>PSUs</w:t>
            </w:r>
          </w:p>
        </w:tc>
        <w:tc>
          <w:tcPr>
            <w:tcW w:w="8740" w:type="dxa"/>
            <w:vAlign w:val="bottom"/>
          </w:tcPr>
          <w:p>
            <w:pPr>
              <w:ind w:left="140"/>
              <w:spacing w:after="0"/>
              <w:rPr>
                <w:sz w:val="20"/>
                <w:szCs w:val="20"/>
                <w:color w:val="auto"/>
              </w:rPr>
            </w:pPr>
            <w:r>
              <w:rPr>
                <w:rFonts w:ascii="Arial" w:cs="Arial" w:eastAsia="Arial" w:hAnsi="Arial"/>
                <w:sz w:val="14"/>
                <w:szCs w:val="14"/>
                <w:color w:val="auto"/>
              </w:rPr>
              <w:t>January 28, 2019 based on Adjusted EBITDA and TSR performance. These awards were forfeited as performance goals were not met.</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Option Exercises and Stock Vested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30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5"/>
                <w:szCs w:val="15"/>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Stock Awards</w:t>
            </w:r>
          </w:p>
        </w:tc>
        <w:tc>
          <w:tcPr>
            <w:tcW w:w="1060" w:type="dxa"/>
            <w:vAlign w:val="bottom"/>
            <w:tcBorders>
              <w:bottom w:val="single" w:sz="8" w:color="auto"/>
            </w:tcBorders>
          </w:tcPr>
          <w:p>
            <w:pPr>
              <w:spacing w:after="0"/>
              <w:rPr>
                <w:sz w:val="15"/>
                <w:szCs w:val="15"/>
                <w:color w:val="auto"/>
              </w:rPr>
            </w:pPr>
          </w:p>
        </w:tc>
      </w:tr>
      <w:tr>
        <w:trPr>
          <w:trHeight w:val="149"/>
        </w:trPr>
        <w:tc>
          <w:tcPr>
            <w:tcW w:w="5160" w:type="dxa"/>
            <w:vAlign w:val="bottom"/>
          </w:tcPr>
          <w:p>
            <w:pPr>
              <w:spacing w:after="0"/>
              <w:rPr>
                <w:sz w:val="12"/>
                <w:szCs w:val="12"/>
                <w:color w:val="auto"/>
              </w:rPr>
            </w:pPr>
          </w:p>
        </w:tc>
        <w:tc>
          <w:tcPr>
            <w:tcW w:w="15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Number of</w:t>
            </w: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rPr>
              <w:t>Number of</w:t>
            </w:r>
          </w:p>
        </w:tc>
        <w:tc>
          <w:tcPr>
            <w:tcW w:w="1060" w:type="dxa"/>
            <w:vAlign w:val="bottom"/>
          </w:tcPr>
          <w:p>
            <w:pPr>
              <w:spacing w:after="0"/>
              <w:rPr>
                <w:sz w:val="12"/>
                <w:szCs w:val="12"/>
                <w:color w:val="auto"/>
              </w:rPr>
            </w:pPr>
          </w:p>
        </w:tc>
      </w:tr>
      <w:tr>
        <w:trPr>
          <w:trHeight w:val="162"/>
        </w:trPr>
        <w:tc>
          <w:tcPr>
            <w:tcW w:w="5160" w:type="dxa"/>
            <w:vAlign w:val="bottom"/>
          </w:tcPr>
          <w:p>
            <w:pPr>
              <w:spacing w:after="0"/>
              <w:rPr>
                <w:sz w:val="14"/>
                <w:szCs w:val="14"/>
                <w:color w:val="auto"/>
              </w:rPr>
            </w:pPr>
          </w:p>
        </w:tc>
        <w:tc>
          <w:tcPr>
            <w:tcW w:w="1560" w:type="dxa"/>
            <w:vAlign w:val="bottom"/>
          </w:tcPr>
          <w:p>
            <w:pPr>
              <w:jc w:val="center"/>
              <w:ind w:right="128"/>
              <w:spacing w:after="0"/>
              <w:rPr>
                <w:sz w:val="20"/>
                <w:szCs w:val="20"/>
                <w:color w:val="auto"/>
              </w:rPr>
            </w:pPr>
            <w:r>
              <w:rPr>
                <w:rFonts w:ascii="Arial" w:cs="Arial" w:eastAsia="Arial" w:hAnsi="Arial"/>
                <w:sz w:val="14"/>
                <w:szCs w:val="14"/>
                <w:b w:val="1"/>
                <w:bCs w:val="1"/>
                <w:color w:val="auto"/>
              </w:rPr>
              <w:t>Shares</w:t>
            </w:r>
          </w:p>
        </w:tc>
        <w:tc>
          <w:tcPr>
            <w:tcW w:w="1520" w:type="dxa"/>
            <w:vAlign w:val="bottom"/>
          </w:tcPr>
          <w:p>
            <w:pPr>
              <w:jc w:val="center"/>
              <w:ind w:left="1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2000" w:type="dxa"/>
            <w:vAlign w:val="bottom"/>
          </w:tcPr>
          <w:p>
            <w:pPr>
              <w:jc w:val="center"/>
              <w:ind w:right="568"/>
              <w:spacing w:after="0"/>
              <w:rPr>
                <w:sz w:val="20"/>
                <w:szCs w:val="20"/>
                <w:color w:val="auto"/>
              </w:rPr>
            </w:pPr>
            <w:r>
              <w:rPr>
                <w:rFonts w:ascii="Arial" w:cs="Arial" w:eastAsia="Arial" w:hAnsi="Arial"/>
                <w:sz w:val="14"/>
                <w:szCs w:val="14"/>
                <w:b w:val="1"/>
                <w:bCs w:val="1"/>
                <w:color w:val="auto"/>
              </w:rPr>
              <w:t>Shares</w:t>
            </w:r>
          </w:p>
        </w:tc>
        <w:tc>
          <w:tcPr>
            <w:tcW w:w="1060" w:type="dxa"/>
            <w:vAlign w:val="bottom"/>
          </w:tcPr>
          <w:p>
            <w:pPr>
              <w:jc w:val="center"/>
              <w:ind w:right="228"/>
              <w:spacing w:after="0"/>
              <w:rPr>
                <w:sz w:val="20"/>
                <w:szCs w:val="20"/>
                <w:color w:val="auto"/>
              </w:rPr>
            </w:pPr>
            <w:r>
              <w:rPr>
                <w:rFonts w:ascii="Arial" w:cs="Arial" w:eastAsia="Arial" w:hAnsi="Arial"/>
                <w:sz w:val="14"/>
                <w:szCs w:val="14"/>
                <w:b w:val="1"/>
                <w:bCs w:val="1"/>
                <w:color w:val="auto"/>
                <w:w w:val="96"/>
              </w:rPr>
              <w:t>Value</w:t>
            </w:r>
          </w:p>
        </w:tc>
      </w:tr>
      <w:tr>
        <w:trPr>
          <w:trHeight w:val="162"/>
        </w:trPr>
        <w:tc>
          <w:tcPr>
            <w:tcW w:w="5160" w:type="dxa"/>
            <w:vAlign w:val="bottom"/>
          </w:tcPr>
          <w:p>
            <w:pPr>
              <w:spacing w:after="0"/>
              <w:rPr>
                <w:sz w:val="14"/>
                <w:szCs w:val="14"/>
                <w:color w:val="auto"/>
              </w:rPr>
            </w:pPr>
          </w:p>
        </w:tc>
        <w:tc>
          <w:tcPr>
            <w:tcW w:w="1560" w:type="dxa"/>
            <w:vAlign w:val="bottom"/>
          </w:tcPr>
          <w:p>
            <w:pPr>
              <w:jc w:val="center"/>
              <w:ind w:right="128"/>
              <w:spacing w:after="0"/>
              <w:rPr>
                <w:sz w:val="20"/>
                <w:szCs w:val="20"/>
                <w:color w:val="auto"/>
              </w:rPr>
            </w:pPr>
            <w:r>
              <w:rPr>
                <w:rFonts w:ascii="Arial" w:cs="Arial" w:eastAsia="Arial" w:hAnsi="Arial"/>
                <w:sz w:val="14"/>
                <w:szCs w:val="14"/>
                <w:b w:val="1"/>
                <w:bCs w:val="1"/>
                <w:color w:val="auto"/>
              </w:rPr>
              <w:t>Acquired on</w:t>
            </w:r>
          </w:p>
        </w:tc>
        <w:tc>
          <w:tcPr>
            <w:tcW w:w="1520" w:type="dxa"/>
            <w:vAlign w:val="bottom"/>
          </w:tcPr>
          <w:p>
            <w:pPr>
              <w:jc w:val="center"/>
              <w:ind w:left="108"/>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4"/>
                <w:szCs w:val="14"/>
                <w:color w:val="auto"/>
              </w:rPr>
            </w:pPr>
          </w:p>
        </w:tc>
        <w:tc>
          <w:tcPr>
            <w:tcW w:w="2000" w:type="dxa"/>
            <w:vAlign w:val="bottom"/>
          </w:tcPr>
          <w:p>
            <w:pPr>
              <w:jc w:val="center"/>
              <w:ind w:right="568"/>
              <w:spacing w:after="0"/>
              <w:rPr>
                <w:sz w:val="20"/>
                <w:szCs w:val="20"/>
                <w:color w:val="auto"/>
              </w:rPr>
            </w:pPr>
            <w:r>
              <w:rPr>
                <w:rFonts w:ascii="Arial" w:cs="Arial" w:eastAsia="Arial" w:hAnsi="Arial"/>
                <w:sz w:val="14"/>
                <w:szCs w:val="14"/>
                <w:b w:val="1"/>
                <w:bCs w:val="1"/>
                <w:color w:val="auto"/>
              </w:rPr>
              <w:t>Acquired on</w:t>
            </w:r>
          </w:p>
        </w:tc>
        <w:tc>
          <w:tcPr>
            <w:tcW w:w="1060" w:type="dxa"/>
            <w:vAlign w:val="bottom"/>
          </w:tcPr>
          <w:p>
            <w:pPr>
              <w:jc w:val="center"/>
              <w:ind w:right="228"/>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5160" w:type="dxa"/>
            <w:vAlign w:val="bottom"/>
          </w:tcPr>
          <w:p>
            <w:pPr>
              <w:spacing w:after="0"/>
              <w:rPr>
                <w:sz w:val="14"/>
                <w:szCs w:val="14"/>
                <w:color w:val="auto"/>
              </w:rPr>
            </w:pPr>
          </w:p>
        </w:tc>
        <w:tc>
          <w:tcPr>
            <w:tcW w:w="1560" w:type="dxa"/>
            <w:vAlign w:val="bottom"/>
          </w:tcPr>
          <w:p>
            <w:pPr>
              <w:jc w:val="center"/>
              <w:ind w:right="128"/>
              <w:spacing w:after="0"/>
              <w:rPr>
                <w:sz w:val="20"/>
                <w:szCs w:val="20"/>
                <w:color w:val="auto"/>
              </w:rPr>
            </w:pPr>
            <w:r>
              <w:rPr>
                <w:rFonts w:ascii="Arial" w:cs="Arial" w:eastAsia="Arial" w:hAnsi="Arial"/>
                <w:sz w:val="14"/>
                <w:szCs w:val="14"/>
                <w:b w:val="1"/>
                <w:bCs w:val="1"/>
                <w:color w:val="auto"/>
              </w:rPr>
              <w:t>Exercise</w:t>
            </w:r>
          </w:p>
        </w:tc>
        <w:tc>
          <w:tcPr>
            <w:tcW w:w="1520" w:type="dxa"/>
            <w:vAlign w:val="bottom"/>
          </w:tcPr>
          <w:p>
            <w:pPr>
              <w:jc w:val="center"/>
              <w:ind w:left="88"/>
              <w:spacing w:after="0"/>
              <w:rPr>
                <w:sz w:val="20"/>
                <w:szCs w:val="20"/>
                <w:color w:val="auto"/>
              </w:rPr>
            </w:pPr>
            <w:r>
              <w:rPr>
                <w:rFonts w:ascii="Arial" w:cs="Arial" w:eastAsia="Arial" w:hAnsi="Arial"/>
                <w:sz w:val="14"/>
                <w:szCs w:val="14"/>
                <w:b w:val="1"/>
                <w:bCs w:val="1"/>
                <w:color w:val="auto"/>
              </w:rPr>
              <w:t>on Exercise</w:t>
            </w:r>
          </w:p>
        </w:tc>
        <w:tc>
          <w:tcPr>
            <w:tcW w:w="120" w:type="dxa"/>
            <w:vAlign w:val="bottom"/>
          </w:tcPr>
          <w:p>
            <w:pPr>
              <w:spacing w:after="0"/>
              <w:rPr>
                <w:sz w:val="14"/>
                <w:szCs w:val="14"/>
                <w:color w:val="auto"/>
              </w:rPr>
            </w:pPr>
          </w:p>
        </w:tc>
        <w:tc>
          <w:tcPr>
            <w:tcW w:w="2000" w:type="dxa"/>
            <w:vAlign w:val="bottom"/>
          </w:tcPr>
          <w:p>
            <w:pPr>
              <w:jc w:val="center"/>
              <w:ind w:right="568"/>
              <w:spacing w:after="0"/>
              <w:rPr>
                <w:sz w:val="20"/>
                <w:szCs w:val="20"/>
                <w:color w:val="auto"/>
              </w:rPr>
            </w:pPr>
            <w:r>
              <w:rPr>
                <w:rFonts w:ascii="Arial" w:cs="Arial" w:eastAsia="Arial" w:hAnsi="Arial"/>
                <w:sz w:val="14"/>
                <w:szCs w:val="14"/>
                <w:b w:val="1"/>
                <w:bCs w:val="1"/>
                <w:color w:val="auto"/>
              </w:rPr>
              <w:t>Vesting</w:t>
            </w:r>
          </w:p>
        </w:tc>
        <w:tc>
          <w:tcPr>
            <w:tcW w:w="1060" w:type="dxa"/>
            <w:vAlign w:val="bottom"/>
          </w:tcPr>
          <w:p>
            <w:pPr>
              <w:jc w:val="center"/>
              <w:ind w:right="228"/>
              <w:spacing w:after="0"/>
              <w:rPr>
                <w:sz w:val="20"/>
                <w:szCs w:val="20"/>
                <w:color w:val="auto"/>
              </w:rPr>
            </w:pPr>
            <w:r>
              <w:rPr>
                <w:rFonts w:ascii="Arial" w:cs="Arial" w:eastAsia="Arial" w:hAnsi="Arial"/>
                <w:sz w:val="14"/>
                <w:szCs w:val="14"/>
                <w:b w:val="1"/>
                <w:bCs w:val="1"/>
                <w:color w:val="auto"/>
              </w:rPr>
              <w:t>on Vesting</w:t>
            </w:r>
          </w:p>
        </w:tc>
      </w:tr>
      <w:tr>
        <w:trPr>
          <w:trHeight w:val="182"/>
        </w:trPr>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568"/>
              <w:spacing w:after="0"/>
              <w:rPr>
                <w:sz w:val="20"/>
                <w:szCs w:val="20"/>
                <w:color w:val="auto"/>
              </w:rPr>
            </w:pPr>
            <w:r>
              <w:rPr>
                <w:rFonts w:ascii="Arial" w:cs="Arial" w:eastAsia="Arial" w:hAnsi="Arial"/>
                <w:sz w:val="14"/>
                <w:szCs w:val="14"/>
                <w:b w:val="1"/>
                <w:bCs w:val="1"/>
                <w:color w:val="auto"/>
              </w:rPr>
              <w:t>(#)(a)</w:t>
            </w: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3"/>
              </w:rPr>
              <w:t>($)</w:t>
            </w:r>
          </w:p>
        </w:tc>
      </w:tr>
      <w:tr>
        <w:trPr>
          <w:trHeight w:val="162"/>
        </w:trPr>
        <w:tc>
          <w:tcPr>
            <w:tcW w:w="5160" w:type="dxa"/>
            <w:vAlign w:val="bottom"/>
            <w:shd w:val="clear" w:color="auto" w:fill="CCCCCC"/>
          </w:tcPr>
          <w:p>
            <w:pPr>
              <w:ind w:left="60"/>
              <w:spacing w:after="0"/>
              <w:rPr>
                <w:sz w:val="20"/>
                <w:szCs w:val="20"/>
                <w:color w:val="auto"/>
              </w:rPr>
            </w:pPr>
            <w:r>
              <w:rPr>
                <w:rFonts w:ascii="Arial" w:cs="Arial" w:eastAsia="Arial" w:hAnsi="Arial"/>
                <w:sz w:val="14"/>
                <w:szCs w:val="14"/>
                <w:color w:val="auto"/>
              </w:rPr>
              <w:t>Mr. De Shon</w:t>
            </w:r>
          </w:p>
        </w:tc>
        <w:tc>
          <w:tcPr>
            <w:tcW w:w="1560" w:type="dxa"/>
            <w:vAlign w:val="bottom"/>
            <w:shd w:val="clear" w:color="auto" w:fill="CCCCCC"/>
          </w:tcPr>
          <w:p>
            <w:pPr>
              <w:jc w:val="center"/>
              <w:ind w:right="108"/>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CCCC"/>
          </w:tcPr>
          <w:p>
            <w:pPr>
              <w:jc w:val="center"/>
              <w:ind w:left="108"/>
              <w:spacing w:after="0"/>
              <w:rPr>
                <w:sz w:val="20"/>
                <w:szCs w:val="20"/>
                <w:color w:val="auto"/>
              </w:rPr>
            </w:pPr>
            <w:r>
              <w:rPr>
                <w:rFonts w:ascii="Arial" w:cs="Arial" w:eastAsia="Arial" w:hAnsi="Arial"/>
                <w:sz w:val="14"/>
                <w:szCs w:val="14"/>
                <w:color w:val="auto"/>
                <w:w w:val="99"/>
              </w:rPr>
              <w:t>—</w:t>
            </w:r>
          </w:p>
        </w:tc>
        <w:tc>
          <w:tcPr>
            <w:tcW w:w="2120" w:type="dxa"/>
            <w:vAlign w:val="bottom"/>
            <w:gridSpan w:val="2"/>
            <w:shd w:val="clear" w:color="auto" w:fill="CCCCCC"/>
          </w:tcPr>
          <w:p>
            <w:pPr>
              <w:jc w:val="right"/>
              <w:ind w:right="568"/>
              <w:spacing w:after="0"/>
              <w:rPr>
                <w:sz w:val="20"/>
                <w:szCs w:val="20"/>
                <w:color w:val="auto"/>
              </w:rPr>
            </w:pPr>
            <w:r>
              <w:rPr>
                <w:rFonts w:ascii="Arial" w:cs="Arial" w:eastAsia="Arial" w:hAnsi="Arial"/>
                <w:sz w:val="14"/>
                <w:szCs w:val="14"/>
                <w:color w:val="auto"/>
              </w:rPr>
              <w:t>58,127</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2,379,967</w:t>
            </w:r>
          </w:p>
        </w:tc>
      </w:tr>
      <w:tr>
        <w:trPr>
          <w:trHeight w:val="162"/>
        </w:trPr>
        <w:tc>
          <w:tcPr>
            <w:tcW w:w="5160" w:type="dxa"/>
            <w:vAlign w:val="bottom"/>
          </w:tcPr>
          <w:p>
            <w:pPr>
              <w:ind w:left="60"/>
              <w:spacing w:after="0"/>
              <w:rPr>
                <w:sz w:val="20"/>
                <w:szCs w:val="20"/>
                <w:color w:val="auto"/>
              </w:rPr>
            </w:pPr>
            <w:r>
              <w:rPr>
                <w:rFonts w:ascii="Arial" w:cs="Arial" w:eastAsia="Arial" w:hAnsi="Arial"/>
                <w:sz w:val="14"/>
                <w:szCs w:val="14"/>
                <w:color w:val="auto"/>
              </w:rPr>
              <w:t>Mr. Smith</w:t>
            </w:r>
          </w:p>
        </w:tc>
        <w:tc>
          <w:tcPr>
            <w:tcW w:w="1560" w:type="dxa"/>
            <w:vAlign w:val="bottom"/>
          </w:tcPr>
          <w:p>
            <w:pPr>
              <w:jc w:val="center"/>
              <w:ind w:right="108"/>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left="108"/>
              <w:spacing w:after="0"/>
              <w:rPr>
                <w:sz w:val="20"/>
                <w:szCs w:val="20"/>
                <w:color w:val="auto"/>
              </w:rPr>
            </w:pPr>
            <w:r>
              <w:rPr>
                <w:rFonts w:ascii="Arial" w:cs="Arial" w:eastAsia="Arial" w:hAnsi="Arial"/>
                <w:sz w:val="14"/>
                <w:szCs w:val="14"/>
                <w:color w:val="auto"/>
                <w:w w:val="99"/>
              </w:rPr>
              <w:t>—</w:t>
            </w:r>
          </w:p>
        </w:tc>
        <w:tc>
          <w:tcPr>
            <w:tcW w:w="2120" w:type="dxa"/>
            <w:vAlign w:val="bottom"/>
            <w:gridSpan w:val="2"/>
          </w:tcPr>
          <w:p>
            <w:pPr>
              <w:jc w:val="right"/>
              <w:ind w:right="568"/>
              <w:spacing w:after="0"/>
              <w:rPr>
                <w:sz w:val="20"/>
                <w:szCs w:val="20"/>
                <w:color w:val="auto"/>
              </w:rPr>
            </w:pPr>
            <w:r>
              <w:rPr>
                <w:rFonts w:ascii="Arial" w:cs="Arial" w:eastAsia="Arial" w:hAnsi="Arial"/>
                <w:sz w:val="14"/>
                <w:szCs w:val="14"/>
                <w:color w:val="auto"/>
              </w:rPr>
              <w:t>1,145</w:t>
            </w:r>
          </w:p>
        </w:tc>
        <w:tc>
          <w:tcPr>
            <w:tcW w:w="1060" w:type="dxa"/>
            <w:vAlign w:val="bottom"/>
          </w:tcPr>
          <w:p>
            <w:pPr>
              <w:jc w:val="right"/>
              <w:spacing w:after="0"/>
              <w:rPr>
                <w:sz w:val="20"/>
                <w:szCs w:val="20"/>
                <w:color w:val="auto"/>
              </w:rPr>
            </w:pPr>
            <w:r>
              <w:rPr>
                <w:rFonts w:ascii="Arial" w:cs="Arial" w:eastAsia="Arial" w:hAnsi="Arial"/>
                <w:sz w:val="14"/>
                <w:szCs w:val="14"/>
                <w:color w:val="auto"/>
              </w:rPr>
              <w:t>52,418</w:t>
            </w:r>
          </w:p>
        </w:tc>
      </w:tr>
      <w:tr>
        <w:trPr>
          <w:trHeight w:val="162"/>
        </w:trPr>
        <w:tc>
          <w:tcPr>
            <w:tcW w:w="5160" w:type="dxa"/>
            <w:vAlign w:val="bottom"/>
            <w:shd w:val="clear" w:color="auto" w:fill="CCCCCC"/>
          </w:tcPr>
          <w:p>
            <w:pPr>
              <w:ind w:left="60"/>
              <w:spacing w:after="0"/>
              <w:rPr>
                <w:sz w:val="20"/>
                <w:szCs w:val="20"/>
                <w:color w:val="auto"/>
              </w:rPr>
            </w:pPr>
            <w:r>
              <w:rPr>
                <w:rFonts w:ascii="Arial" w:cs="Arial" w:eastAsia="Arial" w:hAnsi="Arial"/>
                <w:sz w:val="14"/>
                <w:szCs w:val="14"/>
                <w:color w:val="auto"/>
              </w:rPr>
              <w:t>Mr. Ferraro</w:t>
            </w:r>
          </w:p>
        </w:tc>
        <w:tc>
          <w:tcPr>
            <w:tcW w:w="1560" w:type="dxa"/>
            <w:vAlign w:val="bottom"/>
            <w:shd w:val="clear" w:color="auto" w:fill="CCCCCC"/>
          </w:tcPr>
          <w:p>
            <w:pPr>
              <w:jc w:val="center"/>
              <w:ind w:right="108"/>
              <w:spacing w:after="0"/>
              <w:rPr>
                <w:sz w:val="20"/>
                <w:szCs w:val="20"/>
                <w:color w:val="auto"/>
              </w:rPr>
            </w:pPr>
            <w:r>
              <w:rPr>
                <w:rFonts w:ascii="Arial" w:cs="Arial" w:eastAsia="Arial" w:hAnsi="Arial"/>
                <w:sz w:val="14"/>
                <w:szCs w:val="14"/>
                <w:color w:val="auto"/>
                <w:w w:val="99"/>
              </w:rPr>
              <w:t>—</w:t>
            </w:r>
          </w:p>
        </w:tc>
        <w:tc>
          <w:tcPr>
            <w:tcW w:w="1520" w:type="dxa"/>
            <w:vAlign w:val="bottom"/>
            <w:shd w:val="clear" w:color="auto" w:fill="CCCCCC"/>
          </w:tcPr>
          <w:p>
            <w:pPr>
              <w:jc w:val="center"/>
              <w:ind w:left="108"/>
              <w:spacing w:after="0"/>
              <w:rPr>
                <w:sz w:val="20"/>
                <w:szCs w:val="20"/>
                <w:color w:val="auto"/>
              </w:rPr>
            </w:pPr>
            <w:r>
              <w:rPr>
                <w:rFonts w:ascii="Arial" w:cs="Arial" w:eastAsia="Arial" w:hAnsi="Arial"/>
                <w:sz w:val="14"/>
                <w:szCs w:val="14"/>
                <w:color w:val="auto"/>
                <w:w w:val="99"/>
              </w:rPr>
              <w:t>—</w:t>
            </w:r>
          </w:p>
        </w:tc>
        <w:tc>
          <w:tcPr>
            <w:tcW w:w="2120" w:type="dxa"/>
            <w:vAlign w:val="bottom"/>
            <w:gridSpan w:val="2"/>
            <w:shd w:val="clear" w:color="auto" w:fill="CCCCCC"/>
          </w:tcPr>
          <w:p>
            <w:pPr>
              <w:jc w:val="right"/>
              <w:ind w:right="568"/>
              <w:spacing w:after="0"/>
              <w:rPr>
                <w:sz w:val="20"/>
                <w:szCs w:val="20"/>
                <w:color w:val="auto"/>
              </w:rPr>
            </w:pPr>
            <w:r>
              <w:rPr>
                <w:rFonts w:ascii="Arial" w:cs="Arial" w:eastAsia="Arial" w:hAnsi="Arial"/>
                <w:sz w:val="14"/>
                <w:szCs w:val="14"/>
                <w:color w:val="auto"/>
              </w:rPr>
              <w:t>40,900</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1,595,887</w:t>
            </w:r>
          </w:p>
        </w:tc>
      </w:tr>
      <w:tr>
        <w:trPr>
          <w:trHeight w:val="162"/>
        </w:trPr>
        <w:tc>
          <w:tcPr>
            <w:tcW w:w="5160" w:type="dxa"/>
            <w:vAlign w:val="bottom"/>
          </w:tcPr>
          <w:p>
            <w:pPr>
              <w:ind w:left="60"/>
              <w:spacing w:after="0"/>
              <w:rPr>
                <w:sz w:val="20"/>
                <w:szCs w:val="20"/>
                <w:color w:val="auto"/>
              </w:rPr>
            </w:pPr>
            <w:r>
              <w:rPr>
                <w:rFonts w:ascii="Arial" w:cs="Arial" w:eastAsia="Arial" w:hAnsi="Arial"/>
                <w:sz w:val="14"/>
                <w:szCs w:val="14"/>
                <w:color w:val="auto"/>
              </w:rPr>
              <w:t>Mr. Servodidio</w:t>
            </w:r>
          </w:p>
        </w:tc>
        <w:tc>
          <w:tcPr>
            <w:tcW w:w="1560" w:type="dxa"/>
            <w:vAlign w:val="bottom"/>
          </w:tcPr>
          <w:p>
            <w:pPr>
              <w:jc w:val="center"/>
              <w:ind w:right="108"/>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ind w:left="108"/>
              <w:spacing w:after="0"/>
              <w:rPr>
                <w:sz w:val="20"/>
                <w:szCs w:val="20"/>
                <w:color w:val="auto"/>
              </w:rPr>
            </w:pPr>
            <w:r>
              <w:rPr>
                <w:rFonts w:ascii="Arial" w:cs="Arial" w:eastAsia="Arial" w:hAnsi="Arial"/>
                <w:sz w:val="14"/>
                <w:szCs w:val="14"/>
                <w:color w:val="auto"/>
                <w:w w:val="99"/>
              </w:rPr>
              <w:t>—</w:t>
            </w:r>
          </w:p>
        </w:tc>
        <w:tc>
          <w:tcPr>
            <w:tcW w:w="2120" w:type="dxa"/>
            <w:vAlign w:val="bottom"/>
            <w:gridSpan w:val="2"/>
          </w:tcPr>
          <w:p>
            <w:pPr>
              <w:jc w:val="right"/>
              <w:ind w:right="568"/>
              <w:spacing w:after="0"/>
              <w:rPr>
                <w:sz w:val="20"/>
                <w:szCs w:val="20"/>
                <w:color w:val="auto"/>
              </w:rPr>
            </w:pPr>
            <w:r>
              <w:rPr>
                <w:rFonts w:ascii="Arial" w:cs="Arial" w:eastAsia="Arial" w:hAnsi="Arial"/>
                <w:sz w:val="14"/>
                <w:szCs w:val="14"/>
                <w:color w:val="auto"/>
              </w:rPr>
              <w:t>23,983</w:t>
            </w:r>
          </w:p>
        </w:tc>
        <w:tc>
          <w:tcPr>
            <w:tcW w:w="1060" w:type="dxa"/>
            <w:vAlign w:val="bottom"/>
          </w:tcPr>
          <w:p>
            <w:pPr>
              <w:jc w:val="right"/>
              <w:spacing w:after="0"/>
              <w:rPr>
                <w:sz w:val="20"/>
                <w:szCs w:val="20"/>
                <w:color w:val="auto"/>
              </w:rPr>
            </w:pPr>
            <w:r>
              <w:rPr>
                <w:rFonts w:ascii="Arial" w:cs="Arial" w:eastAsia="Arial" w:hAnsi="Arial"/>
                <w:sz w:val="14"/>
                <w:szCs w:val="14"/>
                <w:color w:val="auto"/>
              </w:rPr>
              <w:t>989,637</w:t>
            </w:r>
          </w:p>
        </w:tc>
      </w:tr>
      <w:tr>
        <w:trPr>
          <w:trHeight w:val="169"/>
        </w:trPr>
        <w:tc>
          <w:tcPr>
            <w:tcW w:w="51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Mr. Tucker</w:t>
            </w:r>
          </w:p>
        </w:tc>
        <w:tc>
          <w:tcPr>
            <w:tcW w:w="1560" w:type="dxa"/>
            <w:vAlign w:val="bottom"/>
            <w:tcBorders>
              <w:bottom w:val="single" w:sz="8" w:color="auto"/>
            </w:tcBorders>
            <w:shd w:val="clear" w:color="auto" w:fill="CCCCCC"/>
          </w:tcPr>
          <w:p>
            <w:pPr>
              <w:jc w:val="center"/>
              <w:ind w:right="108"/>
              <w:spacing w:after="0"/>
              <w:rPr>
                <w:sz w:val="20"/>
                <w:szCs w:val="20"/>
                <w:color w:val="auto"/>
              </w:rPr>
            </w:pPr>
            <w:r>
              <w:rPr>
                <w:rFonts w:ascii="Arial" w:cs="Arial" w:eastAsia="Arial" w:hAnsi="Arial"/>
                <w:sz w:val="14"/>
                <w:szCs w:val="14"/>
                <w:color w:val="auto"/>
                <w:w w:val="99"/>
              </w:rPr>
              <w:t>—</w:t>
            </w:r>
          </w:p>
        </w:tc>
        <w:tc>
          <w:tcPr>
            <w:tcW w:w="1520" w:type="dxa"/>
            <w:vAlign w:val="bottom"/>
            <w:tcBorders>
              <w:bottom w:val="single" w:sz="8" w:color="auto"/>
            </w:tcBorders>
            <w:shd w:val="clear" w:color="auto" w:fill="CCCCCC"/>
          </w:tcPr>
          <w:p>
            <w:pPr>
              <w:jc w:val="center"/>
              <w:ind w:left="108"/>
              <w:spacing w:after="0"/>
              <w:rPr>
                <w:sz w:val="20"/>
                <w:szCs w:val="20"/>
                <w:color w:val="auto"/>
              </w:rPr>
            </w:pPr>
            <w:r>
              <w:rPr>
                <w:rFonts w:ascii="Arial" w:cs="Arial" w:eastAsia="Arial" w:hAnsi="Arial"/>
                <w:sz w:val="14"/>
                <w:szCs w:val="14"/>
                <w:color w:val="auto"/>
                <w:w w:val="99"/>
              </w:rPr>
              <w:t>—</w:t>
            </w:r>
          </w:p>
        </w:tc>
        <w:tc>
          <w:tcPr>
            <w:tcW w:w="2120" w:type="dxa"/>
            <w:vAlign w:val="bottom"/>
            <w:tcBorders>
              <w:bottom w:val="single" w:sz="8" w:color="auto"/>
            </w:tcBorders>
            <w:gridSpan w:val="2"/>
            <w:shd w:val="clear" w:color="auto" w:fill="CCCCCC"/>
          </w:tcPr>
          <w:p>
            <w:pPr>
              <w:jc w:val="right"/>
              <w:ind w:right="568"/>
              <w:spacing w:after="0"/>
              <w:rPr>
                <w:sz w:val="20"/>
                <w:szCs w:val="20"/>
                <w:color w:val="auto"/>
              </w:rPr>
            </w:pPr>
            <w:r>
              <w:rPr>
                <w:rFonts w:ascii="Arial" w:cs="Arial" w:eastAsia="Arial" w:hAnsi="Arial"/>
                <w:sz w:val="14"/>
                <w:szCs w:val="14"/>
                <w:color w:val="auto"/>
              </w:rPr>
              <w:t>15,236</w:t>
            </w:r>
          </w:p>
        </w:tc>
        <w:tc>
          <w:tcPr>
            <w:tcW w:w="10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616,148</w:t>
            </w:r>
          </w:p>
        </w:tc>
      </w:tr>
    </w:tbl>
    <w:p>
      <w:pPr>
        <w:spacing w:after="0" w:line="16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vesting of RSU awards granted in 2015, 2016 and 2017.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60" w:type="dxa"/>
            <w:vAlign w:val="bottom"/>
          </w:tcPr>
          <w:p>
            <w:pPr>
              <w:jc w:val="center"/>
              <w:ind w:left="121"/>
              <w:spacing w:after="0"/>
              <w:rPr>
                <w:sz w:val="20"/>
                <w:szCs w:val="20"/>
                <w:color w:val="auto"/>
              </w:rPr>
            </w:pPr>
            <w:r>
              <w:rPr>
                <w:rFonts w:ascii="Arial" w:cs="Arial" w:eastAsia="Arial" w:hAnsi="Arial"/>
                <w:sz w:val="14"/>
                <w:szCs w:val="14"/>
                <w:b w:val="1"/>
                <w:bCs w:val="1"/>
                <w:color w:val="auto"/>
              </w:rPr>
              <w:t>Number of Years of</w:t>
            </w:r>
          </w:p>
        </w:tc>
        <w:tc>
          <w:tcPr>
            <w:tcW w:w="1960" w:type="dxa"/>
            <w:vAlign w:val="bottom"/>
          </w:tcPr>
          <w:p>
            <w:pPr>
              <w:jc w:val="center"/>
              <w:ind w:right="61"/>
              <w:spacing w:after="0"/>
              <w:rPr>
                <w:sz w:val="20"/>
                <w:szCs w:val="20"/>
                <w:color w:val="auto"/>
              </w:rPr>
            </w:pPr>
            <w:r>
              <w:rPr>
                <w:rFonts w:ascii="Arial" w:cs="Arial" w:eastAsia="Arial" w:hAnsi="Arial"/>
                <w:sz w:val="14"/>
                <w:szCs w:val="14"/>
                <w:b w:val="1"/>
                <w:bCs w:val="1"/>
                <w:color w:val="auto"/>
              </w:rPr>
              <w:t>Present Value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1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60" w:type="dxa"/>
            <w:vAlign w:val="bottom"/>
          </w:tcPr>
          <w:p>
            <w:pPr>
              <w:jc w:val="center"/>
              <w:ind w:left="141"/>
              <w:spacing w:after="0"/>
              <w:rPr>
                <w:sz w:val="20"/>
                <w:szCs w:val="20"/>
                <w:color w:val="auto"/>
              </w:rPr>
            </w:pPr>
            <w:r>
              <w:rPr>
                <w:rFonts w:ascii="Arial" w:cs="Arial" w:eastAsia="Arial" w:hAnsi="Arial"/>
                <w:sz w:val="14"/>
                <w:szCs w:val="14"/>
                <w:b w:val="1"/>
                <w:bCs w:val="1"/>
                <w:color w:val="auto"/>
              </w:rPr>
              <w:t>Credited Service</w:t>
            </w:r>
          </w:p>
        </w:tc>
        <w:tc>
          <w:tcPr>
            <w:tcW w:w="1960" w:type="dxa"/>
            <w:vAlign w:val="bottom"/>
          </w:tcPr>
          <w:p>
            <w:pPr>
              <w:jc w:val="center"/>
              <w:ind w:right="41"/>
              <w:spacing w:after="0"/>
              <w:rPr>
                <w:sz w:val="20"/>
                <w:szCs w:val="20"/>
                <w:color w:val="auto"/>
              </w:rPr>
            </w:pPr>
            <w:r>
              <w:rPr>
                <w:rFonts w:ascii="Arial" w:cs="Arial" w:eastAsia="Arial" w:hAnsi="Arial"/>
                <w:sz w:val="14"/>
                <w:szCs w:val="14"/>
                <w:b w:val="1"/>
                <w:bCs w:val="1"/>
                <w:color w:val="auto"/>
              </w:rPr>
              <w:t>of Accumulated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Fiscal Year</w:t>
            </w:r>
          </w:p>
        </w:tc>
      </w:tr>
      <w:tr>
        <w:trPr>
          <w:trHeight w:val="182"/>
        </w:trPr>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4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Plan Name (a)</w:t>
            </w:r>
          </w:p>
        </w:tc>
        <w:tc>
          <w:tcPr>
            <w:tcW w:w="236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w w:val="99"/>
              </w:rPr>
              <w:t>(#)(a)</w:t>
            </w:r>
          </w:p>
        </w:tc>
        <w:tc>
          <w:tcPr>
            <w:tcW w:w="1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Benefit ($)(a)</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3"/>
        </w:trPr>
        <w:tc>
          <w:tcPr>
            <w:tcW w:w="142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Mr. Ferraro</w:t>
            </w:r>
          </w:p>
        </w:tc>
        <w:tc>
          <w:tcPr>
            <w:tcW w:w="4520" w:type="dxa"/>
            <w:vAlign w:val="bottom"/>
            <w:tcBorders>
              <w:bottom w:val="single" w:sz="8" w:color="auto"/>
            </w:tcBorders>
            <w:shd w:val="clear" w:color="auto" w:fill="CCCCCC"/>
          </w:tcPr>
          <w:p>
            <w:pPr>
              <w:jc w:val="center"/>
              <w:ind w:right="36"/>
              <w:spacing w:after="0" w:line="202" w:lineRule="exact"/>
              <w:rPr>
                <w:sz w:val="20"/>
                <w:szCs w:val="20"/>
                <w:color w:val="auto"/>
              </w:rPr>
            </w:pPr>
            <w:r>
              <w:rPr>
                <w:rFonts w:ascii="Arial" w:cs="Arial" w:eastAsia="Arial" w:hAnsi="Arial"/>
                <w:sz w:val="18"/>
                <w:szCs w:val="18"/>
                <w:color w:val="auto"/>
              </w:rPr>
              <w:t>Avis Rent A Car System, LLC Pension Plan</w:t>
            </w:r>
          </w:p>
        </w:tc>
        <w:tc>
          <w:tcPr>
            <w:tcW w:w="2360" w:type="dxa"/>
            <w:vAlign w:val="bottom"/>
            <w:tcBorders>
              <w:bottom w:val="single" w:sz="8" w:color="auto"/>
            </w:tcBorders>
            <w:shd w:val="clear" w:color="auto" w:fill="CCCCCC"/>
          </w:tcPr>
          <w:p>
            <w:pPr>
              <w:jc w:val="center"/>
              <w:ind w:left="121"/>
              <w:spacing w:after="0" w:line="202" w:lineRule="exact"/>
              <w:rPr>
                <w:sz w:val="20"/>
                <w:szCs w:val="20"/>
                <w:color w:val="auto"/>
              </w:rPr>
            </w:pPr>
            <w:r>
              <w:rPr>
                <w:rFonts w:ascii="Arial" w:cs="Arial" w:eastAsia="Arial" w:hAnsi="Arial"/>
                <w:sz w:val="18"/>
                <w:szCs w:val="18"/>
                <w:color w:val="auto"/>
                <w:w w:val="99"/>
              </w:rPr>
              <w:t>21 years, 1 month</w:t>
            </w:r>
          </w:p>
        </w:tc>
        <w:tc>
          <w:tcPr>
            <w:tcW w:w="1960" w:type="dxa"/>
            <w:vAlign w:val="bottom"/>
            <w:tcBorders>
              <w:bottom w:val="single" w:sz="8" w:color="auto"/>
            </w:tcBorders>
            <w:shd w:val="clear" w:color="auto" w:fill="CCCCCC"/>
          </w:tcPr>
          <w:p>
            <w:pPr>
              <w:jc w:val="right"/>
              <w:ind w:right="241"/>
              <w:spacing w:after="0" w:line="202" w:lineRule="exact"/>
              <w:rPr>
                <w:sz w:val="20"/>
                <w:szCs w:val="20"/>
                <w:color w:val="auto"/>
              </w:rPr>
            </w:pPr>
            <w:r>
              <w:rPr>
                <w:rFonts w:ascii="Arial" w:cs="Arial" w:eastAsia="Arial" w:hAnsi="Arial"/>
                <w:sz w:val="18"/>
                <w:szCs w:val="18"/>
                <w:color w:val="auto"/>
              </w:rPr>
              <w:t>375,702</w:t>
            </w:r>
          </w:p>
        </w:tc>
        <w:tc>
          <w:tcPr>
            <w:tcW w:w="1160" w:type="dxa"/>
            <w:vAlign w:val="bottom"/>
            <w:tcBorders>
              <w:bottom w:val="single" w:sz="8" w:color="auto"/>
            </w:tcBorders>
            <w:shd w:val="clear" w:color="auto" w:fill="CCCCCC"/>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142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Mr. Smith</w:t>
            </w:r>
          </w:p>
        </w:tc>
        <w:tc>
          <w:tcPr>
            <w:tcW w:w="4520" w:type="dxa"/>
            <w:vAlign w:val="bottom"/>
            <w:tcBorders>
              <w:bottom w:val="single" w:sz="8" w:color="auto"/>
            </w:tcBorders>
          </w:tcPr>
          <w:p>
            <w:pPr>
              <w:jc w:val="center"/>
              <w:ind w:right="36"/>
              <w:spacing w:after="0" w:line="196" w:lineRule="exact"/>
              <w:rPr>
                <w:sz w:val="20"/>
                <w:szCs w:val="20"/>
                <w:color w:val="auto"/>
              </w:rPr>
            </w:pPr>
            <w:r>
              <w:rPr>
                <w:rFonts w:ascii="Arial" w:cs="Arial" w:eastAsia="Arial" w:hAnsi="Arial"/>
                <w:sz w:val="18"/>
                <w:szCs w:val="18"/>
                <w:color w:val="auto"/>
                <w:w w:val="99"/>
              </w:rPr>
              <w:t>Avis UK Pension Plan(b)</w:t>
            </w:r>
          </w:p>
        </w:tc>
        <w:tc>
          <w:tcPr>
            <w:tcW w:w="2360" w:type="dxa"/>
            <w:vAlign w:val="bottom"/>
            <w:tcBorders>
              <w:bottom w:val="single" w:sz="8" w:color="auto"/>
            </w:tcBorders>
          </w:tcPr>
          <w:p>
            <w:pPr>
              <w:jc w:val="center"/>
              <w:ind w:left="141"/>
              <w:spacing w:after="0" w:line="196" w:lineRule="exact"/>
              <w:rPr>
                <w:sz w:val="20"/>
                <w:szCs w:val="20"/>
                <w:color w:val="auto"/>
              </w:rPr>
            </w:pPr>
            <w:r>
              <w:rPr>
                <w:rFonts w:ascii="Arial" w:cs="Arial" w:eastAsia="Arial" w:hAnsi="Arial"/>
                <w:sz w:val="18"/>
                <w:szCs w:val="18"/>
                <w:color w:val="auto"/>
                <w:w w:val="99"/>
              </w:rPr>
              <w:t>3 years, 6 months</w:t>
            </w:r>
          </w:p>
        </w:tc>
        <w:tc>
          <w:tcPr>
            <w:tcW w:w="1960" w:type="dxa"/>
            <w:vAlign w:val="bottom"/>
            <w:tcBorders>
              <w:bottom w:val="single" w:sz="8" w:color="auto"/>
            </w:tcBorders>
          </w:tcPr>
          <w:p>
            <w:pPr>
              <w:jc w:val="right"/>
              <w:ind w:right="241"/>
              <w:spacing w:after="0" w:line="196" w:lineRule="exact"/>
              <w:rPr>
                <w:sz w:val="20"/>
                <w:szCs w:val="20"/>
                <w:color w:val="auto"/>
              </w:rPr>
            </w:pPr>
            <w:r>
              <w:rPr>
                <w:rFonts w:ascii="Arial" w:cs="Arial" w:eastAsia="Arial" w:hAnsi="Arial"/>
                <w:sz w:val="18"/>
                <w:szCs w:val="18"/>
                <w:color w:val="auto"/>
              </w:rPr>
              <w:t>189,870</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6,164</w:t>
            </w:r>
          </w:p>
        </w:tc>
      </w:tr>
    </w:tbl>
    <w:p>
      <w:pPr>
        <w:spacing w:after="0" w:line="167" w:lineRule="exact"/>
        <w:rPr>
          <w:sz w:val="20"/>
          <w:szCs w:val="20"/>
          <w:color w:val="auto"/>
        </w:rPr>
      </w:pPr>
    </w:p>
    <w:p>
      <w:pPr>
        <w:jc w:val="both"/>
        <w:ind w:left="280" w:hanging="272"/>
        <w:spacing w:after="0" w:line="247" w:lineRule="auto"/>
        <w:tabs>
          <w:tab w:leader="none" w:pos="2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17 to our audited financial statements for the fiscal year ended December 31, 2018, included in our 2018 Form 10-K.</w:t>
      </w:r>
    </w:p>
    <w:p>
      <w:pPr>
        <w:spacing w:after="0" w:line="147" w:lineRule="exact"/>
        <w:rPr>
          <w:rFonts w:ascii="Arial" w:cs="Arial" w:eastAsia="Arial" w:hAnsi="Arial"/>
          <w:sz w:val="14"/>
          <w:szCs w:val="14"/>
          <w:color w:val="auto"/>
        </w:rPr>
      </w:pPr>
    </w:p>
    <w:p>
      <w:pPr>
        <w:jc w:val="both"/>
        <w:ind w:left="280"/>
        <w:spacing w:after="0" w:line="245" w:lineRule="auto"/>
        <w:rPr>
          <w:rFonts w:ascii="Arial" w:cs="Arial" w:eastAsia="Arial" w:hAnsi="Arial"/>
          <w:sz w:val="14"/>
          <w:szCs w:val="14"/>
          <w:color w:val="auto"/>
        </w:rPr>
      </w:pPr>
      <w:r>
        <w:rPr>
          <w:rFonts w:ascii="Arial" w:cs="Arial" w:eastAsia="Arial" w:hAnsi="Arial"/>
          <w:sz w:val="14"/>
          <w:szCs w:val="14"/>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150" w:lineRule="exact"/>
        <w:rPr>
          <w:rFonts w:ascii="Arial" w:cs="Arial" w:eastAsia="Arial" w:hAnsi="Arial"/>
          <w:sz w:val="14"/>
          <w:szCs w:val="14"/>
          <w:color w:val="auto"/>
        </w:rPr>
      </w:pPr>
    </w:p>
    <w:p>
      <w:pPr>
        <w:jc w:val="both"/>
        <w:ind w:left="280" w:hanging="272"/>
        <w:spacing w:after="0" w:line="244" w:lineRule="auto"/>
        <w:tabs>
          <w:tab w:leader="none" w:pos="2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2018, Mr. Smith participated in the Avis UK Pension Plan, a funded pension plan, set up and administered under UK trust law and other relevant UK legislation. The plan has defined benefit and defined contribution sections. Mr. Smith participates in the defined benefit component of the Plan, which provides pension benefits based on service and final salary, and are payable to Mr. Smith upon attainment of age 62. Pension benefits increase in line with price inflation, subject to limits set out in the Plan’s governing documents. For Mr. Smith, the present value of accumulated benefits reflects £/$ exchange rate as of December 31, 2018, and payments during last fiscal year reflect a £/$ exchange rate as of the date paid, received or allocated. For a discussion of the calculation of retirement benefits, please see Note 17 to our audited financial statements for the fiscal year ended December 31, 2018, included in our 2018 Form 10-K.</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620" w:type="dxa"/>
            <w:vAlign w:val="bottom"/>
          </w:tcPr>
          <w:p>
            <w:pPr>
              <w:jc w:val="center"/>
              <w:ind w:left="938"/>
              <w:spacing w:after="0"/>
              <w:rPr>
                <w:sz w:val="20"/>
                <w:szCs w:val="20"/>
                <w:color w:val="auto"/>
              </w:rPr>
            </w:pPr>
            <w:r>
              <w:rPr>
                <w:rFonts w:ascii="Arial" w:cs="Arial" w:eastAsia="Arial" w:hAnsi="Arial"/>
                <w:sz w:val="14"/>
                <w:szCs w:val="14"/>
                <w:b w:val="1"/>
                <w:bCs w:val="1"/>
                <w:color w:val="auto"/>
              </w:rPr>
              <w:t>Executive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Registrant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460" w:type="dxa"/>
            <w:vAlign w:val="bottom"/>
          </w:tcPr>
          <w:p>
            <w:pPr>
              <w:jc w:val="center"/>
              <w:ind w:left="18"/>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540" w:type="dxa"/>
            <w:vAlign w:val="bottom"/>
          </w:tcPr>
          <w:p>
            <w:pPr>
              <w:spacing w:after="0"/>
              <w:rPr>
                <w:sz w:val="14"/>
                <w:szCs w:val="14"/>
                <w:color w:val="auto"/>
              </w:rPr>
            </w:pPr>
          </w:p>
        </w:tc>
        <w:tc>
          <w:tcPr>
            <w:tcW w:w="2620" w:type="dxa"/>
            <w:vAlign w:val="bottom"/>
          </w:tcPr>
          <w:p>
            <w:pPr>
              <w:jc w:val="center"/>
              <w:ind w:left="918"/>
              <w:spacing w:after="0"/>
              <w:rPr>
                <w:sz w:val="20"/>
                <w:szCs w:val="20"/>
                <w:color w:val="auto"/>
              </w:rPr>
            </w:pPr>
            <w:r>
              <w:rPr>
                <w:rFonts w:ascii="Arial" w:cs="Arial" w:eastAsia="Arial" w:hAnsi="Arial"/>
                <w:sz w:val="14"/>
                <w:szCs w:val="14"/>
                <w:b w:val="1"/>
                <w:bCs w:val="1"/>
                <w:color w:val="auto"/>
              </w:rPr>
              <w:t>Contributions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Withdrawals/</w:t>
            </w:r>
          </w:p>
        </w:tc>
        <w:tc>
          <w:tcPr>
            <w:tcW w:w="1460" w:type="dxa"/>
            <w:vAlign w:val="bottom"/>
          </w:tcPr>
          <w:p>
            <w:pPr>
              <w:jc w:val="center"/>
              <w:ind w:left="18"/>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540" w:type="dxa"/>
            <w:vAlign w:val="bottom"/>
          </w:tcPr>
          <w:p>
            <w:pPr>
              <w:spacing w:after="0"/>
              <w:rPr>
                <w:sz w:val="14"/>
                <w:szCs w:val="14"/>
                <w:color w:val="auto"/>
              </w:rPr>
            </w:pPr>
          </w:p>
        </w:tc>
        <w:tc>
          <w:tcPr>
            <w:tcW w:w="2620" w:type="dxa"/>
            <w:vAlign w:val="bottom"/>
          </w:tcPr>
          <w:p>
            <w:pPr>
              <w:jc w:val="center"/>
              <w:ind w:left="938"/>
              <w:spacing w:after="0"/>
              <w:rPr>
                <w:sz w:val="20"/>
                <w:szCs w:val="20"/>
                <w:color w:val="auto"/>
              </w:rPr>
            </w:pPr>
            <w:r>
              <w:rPr>
                <w:rFonts w:ascii="Arial" w:cs="Arial" w:eastAsia="Arial" w:hAnsi="Arial"/>
                <w:sz w:val="14"/>
                <w:szCs w:val="14"/>
                <w:b w:val="1"/>
                <w:bCs w:val="1"/>
                <w:color w:val="auto"/>
              </w:rPr>
              <w:t>in Last FY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in Last FY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Distributions</w:t>
            </w:r>
          </w:p>
        </w:tc>
        <w:tc>
          <w:tcPr>
            <w:tcW w:w="1460" w:type="dxa"/>
            <w:vAlign w:val="bottom"/>
          </w:tcPr>
          <w:p>
            <w:pPr>
              <w:jc w:val="center"/>
              <w:ind w:left="18"/>
              <w:spacing w:after="0"/>
              <w:rPr>
                <w:sz w:val="20"/>
                <w:szCs w:val="20"/>
                <w:color w:val="auto"/>
              </w:rPr>
            </w:pPr>
            <w:r>
              <w:rPr>
                <w:rFonts w:ascii="Arial" w:cs="Arial" w:eastAsia="Arial" w:hAnsi="Arial"/>
                <w:sz w:val="14"/>
                <w:szCs w:val="14"/>
                <w:b w:val="1"/>
                <w:bCs w:val="1"/>
                <w:color w:val="auto"/>
              </w:rPr>
              <w:t>Last FYE</w:t>
            </w:r>
          </w:p>
        </w:tc>
      </w:tr>
      <w:tr>
        <w:trPr>
          <w:trHeight w:val="182"/>
        </w:trPr>
        <w:tc>
          <w:tcPr>
            <w:tcW w:w="2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2620" w:type="dxa"/>
            <w:vAlign w:val="bottom"/>
            <w:tcBorders>
              <w:bottom w:val="single" w:sz="8" w:color="auto"/>
            </w:tcBorders>
          </w:tcPr>
          <w:p>
            <w:pPr>
              <w:jc w:val="center"/>
              <w:ind w:left="938"/>
              <w:spacing w:after="0"/>
              <w:rPr>
                <w:sz w:val="20"/>
                <w:szCs w:val="20"/>
                <w:color w:val="auto"/>
              </w:rPr>
            </w:pPr>
            <w:r>
              <w:rPr>
                <w:rFonts w:ascii="Arial" w:cs="Arial" w:eastAsia="Arial" w:hAnsi="Arial"/>
                <w:sz w:val="14"/>
                <w:szCs w:val="14"/>
                <w:b w:val="1"/>
                <w:bCs w:val="1"/>
                <w:color w:val="auto"/>
              </w:rPr>
              <w:t>($)(a)</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46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($)(e)</w:t>
            </w:r>
          </w:p>
        </w:tc>
      </w:tr>
      <w:tr>
        <w:trPr>
          <w:trHeight w:val="203"/>
        </w:trPr>
        <w:tc>
          <w:tcPr>
            <w:tcW w:w="254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Mr. De Shon</w:t>
            </w:r>
          </w:p>
        </w:tc>
        <w:tc>
          <w:tcPr>
            <w:tcW w:w="2620" w:type="dxa"/>
            <w:vAlign w:val="bottom"/>
            <w:tcBorders>
              <w:bottom w:val="single" w:sz="8" w:color="auto"/>
            </w:tcBorders>
            <w:shd w:val="clear" w:color="auto" w:fill="CCCCCC"/>
          </w:tcPr>
          <w:p>
            <w:pPr>
              <w:jc w:val="center"/>
              <w:ind w:left="938"/>
              <w:spacing w:after="0" w:line="202" w:lineRule="exact"/>
              <w:rPr>
                <w:sz w:val="20"/>
                <w:szCs w:val="20"/>
                <w:color w:val="auto"/>
              </w:rPr>
            </w:pPr>
            <w:r>
              <w:rPr>
                <w:rFonts w:ascii="Arial" w:cs="Arial" w:eastAsia="Arial" w:hAnsi="Arial"/>
                <w:sz w:val="18"/>
                <w:szCs w:val="18"/>
                <w:color w:val="auto"/>
              </w:rPr>
              <w:t>68,538</w:t>
            </w:r>
          </w:p>
        </w:tc>
        <w:tc>
          <w:tcPr>
            <w:tcW w:w="1660" w:type="dxa"/>
            <w:vAlign w:val="bottom"/>
            <w:tcBorders>
              <w:bottom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rPr>
              <w:t>68,538</w:t>
            </w:r>
          </w:p>
        </w:tc>
        <w:tc>
          <w:tcPr>
            <w:tcW w:w="1520" w:type="dxa"/>
            <w:vAlign w:val="bottom"/>
            <w:tcBorders>
              <w:bottom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rPr>
              <w:t>(202,737)</w:t>
            </w:r>
          </w:p>
        </w:tc>
        <w:tc>
          <w:tcPr>
            <w:tcW w:w="1620" w:type="dxa"/>
            <w:vAlign w:val="bottom"/>
            <w:tcBorders>
              <w:bottom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CCCC"/>
          </w:tcPr>
          <w:p>
            <w:pPr>
              <w:jc w:val="center"/>
              <w:ind w:left="18"/>
              <w:spacing w:after="0" w:line="202" w:lineRule="exact"/>
              <w:rPr>
                <w:sz w:val="20"/>
                <w:szCs w:val="20"/>
                <w:color w:val="auto"/>
              </w:rPr>
            </w:pPr>
            <w:r>
              <w:rPr>
                <w:rFonts w:ascii="Arial" w:cs="Arial" w:eastAsia="Arial" w:hAnsi="Arial"/>
                <w:sz w:val="18"/>
                <w:szCs w:val="18"/>
                <w:color w:val="auto"/>
                <w:w w:val="99"/>
              </w:rPr>
              <w:t>2,678,752</w:t>
            </w:r>
          </w:p>
        </w:tc>
      </w:tr>
      <w:tr>
        <w:trPr>
          <w:trHeight w:val="196"/>
        </w:trPr>
        <w:tc>
          <w:tcPr>
            <w:tcW w:w="2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Mr. Smith</w:t>
            </w:r>
          </w:p>
        </w:tc>
        <w:tc>
          <w:tcPr>
            <w:tcW w:w="2620" w:type="dxa"/>
            <w:vAlign w:val="bottom"/>
            <w:tcBorders>
              <w:bottom w:val="single" w:sz="8" w:color="auto"/>
            </w:tcBorders>
          </w:tcPr>
          <w:p>
            <w:pPr>
              <w:jc w:val="center"/>
              <w:ind w:left="918"/>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254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Mr. Ferraro</w:t>
            </w:r>
          </w:p>
        </w:tc>
        <w:tc>
          <w:tcPr>
            <w:tcW w:w="2620" w:type="dxa"/>
            <w:vAlign w:val="bottom"/>
            <w:tcBorders>
              <w:bottom w:val="single" w:sz="8" w:color="auto"/>
            </w:tcBorders>
            <w:shd w:val="clear" w:color="auto" w:fill="CCCCCC"/>
          </w:tcPr>
          <w:p>
            <w:pPr>
              <w:jc w:val="center"/>
              <w:ind w:left="918"/>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25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Mr. Servodidio</w:t>
            </w:r>
          </w:p>
        </w:tc>
        <w:tc>
          <w:tcPr>
            <w:tcW w:w="2620" w:type="dxa"/>
            <w:vAlign w:val="bottom"/>
            <w:tcBorders>
              <w:bottom w:val="single" w:sz="8" w:color="auto"/>
            </w:tcBorders>
          </w:tcPr>
          <w:p>
            <w:pPr>
              <w:jc w:val="center"/>
              <w:ind w:left="938"/>
              <w:spacing w:after="0" w:line="196" w:lineRule="exact"/>
              <w:rPr>
                <w:sz w:val="20"/>
                <w:szCs w:val="20"/>
                <w:color w:val="auto"/>
              </w:rPr>
            </w:pPr>
            <w:r>
              <w:rPr>
                <w:rFonts w:ascii="Arial" w:cs="Arial" w:eastAsia="Arial" w:hAnsi="Arial"/>
                <w:sz w:val="18"/>
                <w:szCs w:val="18"/>
                <w:color w:val="auto"/>
              </w:rPr>
              <w:t>58,081</w:t>
            </w:r>
          </w:p>
        </w:tc>
        <w:tc>
          <w:tcPr>
            <w:tcW w:w="16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rPr>
              <w:t>57,119</w:t>
            </w:r>
          </w:p>
        </w:tc>
        <w:tc>
          <w:tcPr>
            <w:tcW w:w="15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(32,959)</w:t>
            </w:r>
          </w:p>
        </w:tc>
        <w:tc>
          <w:tcPr>
            <w:tcW w:w="16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18"/>
              <w:spacing w:after="0" w:line="196" w:lineRule="exact"/>
              <w:rPr>
                <w:sz w:val="20"/>
                <w:szCs w:val="20"/>
                <w:color w:val="auto"/>
              </w:rPr>
            </w:pPr>
            <w:r>
              <w:rPr>
                <w:rFonts w:ascii="Arial" w:cs="Arial" w:eastAsia="Arial" w:hAnsi="Arial"/>
                <w:sz w:val="18"/>
                <w:szCs w:val="18"/>
                <w:color w:val="auto"/>
                <w:w w:val="98"/>
              </w:rPr>
              <w:t>513,973</w:t>
            </w:r>
          </w:p>
        </w:tc>
      </w:tr>
      <w:tr>
        <w:trPr>
          <w:trHeight w:val="203"/>
        </w:trPr>
        <w:tc>
          <w:tcPr>
            <w:tcW w:w="254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Mr. Tucker</w:t>
            </w:r>
          </w:p>
        </w:tc>
        <w:tc>
          <w:tcPr>
            <w:tcW w:w="2620" w:type="dxa"/>
            <w:vAlign w:val="bottom"/>
            <w:tcBorders>
              <w:bottom w:val="single" w:sz="8" w:color="auto"/>
            </w:tcBorders>
            <w:shd w:val="clear" w:color="auto" w:fill="CCCCCC"/>
          </w:tcPr>
          <w:p>
            <w:pPr>
              <w:jc w:val="center"/>
              <w:ind w:left="918"/>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450</w:t>
            </w:r>
          </w:p>
        </w:tc>
        <w:tc>
          <w:tcPr>
            <w:tcW w:w="162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rPr>
              <w:t>(21,757)</w:t>
            </w:r>
          </w:p>
        </w:tc>
        <w:tc>
          <w:tcPr>
            <w:tcW w:w="14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r>
    </w:tbl>
    <w:p>
      <w:pPr>
        <w:spacing w:after="0" w:line="167" w:lineRule="exact"/>
        <w:rPr>
          <w:sz w:val="20"/>
          <w:szCs w:val="20"/>
          <w:color w:val="auto"/>
        </w:rPr>
      </w:pPr>
    </w:p>
    <w:p>
      <w:pPr>
        <w:jc w:val="both"/>
        <w:ind w:left="340" w:hanging="332"/>
        <w:spacing w:after="0" w:line="244"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312" w:lineRule="exact"/>
        <w:rPr>
          <w:rFonts w:ascii="Arial" w:cs="Arial" w:eastAsia="Arial" w:hAnsi="Arial"/>
          <w:sz w:val="14"/>
          <w:szCs w:val="14"/>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w:t>
      </w:r>
    </w:p>
    <w:p>
      <w:pPr>
        <w:spacing w:after="0" w:line="163"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14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140"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2018. The aggregate balance is the sum of all participant and registrant contributions and investment earnings less any withdrawals or distributions.</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Agreements and Other Arrangements</w:t>
      </w:r>
    </w:p>
    <w:p>
      <w:pPr>
        <w:spacing w:after="0" w:line="24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Each NEO is employed by us pursuant to a written agreement of employment or has a severance agreement, as summarized below and discussed under “Employment and Change of Control Agreements; Severance Arrangements.”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De Shon</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providing for a minimum base salary of $1,000,000 (pursuant to Committee discretion such salary was increased to $1,100,000 in 2017) and employee benefit plans generally available to our executive officers, Mr. De Shon’s agreement provides for an annual incentive award with a target amount equal to 150% of his base salary, which may be subject to the attainment of performance goals, and grants of long-term incentive awards, upon such terms and conditions as determined by our Board of Directors or the Committee. Mr. De Shon’s agreement provides that if his employment with the Company is terminated without “Cause” or due to a “Constructive Discharge” (as described below), he will be entitled to a lump-sum payment equal to 200% of the sum of his then-current base salary plus his then-current target annual bonus, and perquisites to include car usage, financial planning and health coverage for a period of 24 months. In addition, in this event, Mr. De Shon’s then outstanding equity awards, scheduled to vest in accordance with the original vesting schedule by the two-year anniversary of termination of employment, would immediately vest in full.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Payments described in the preceding two sentences are subject to, and contingent upon, execution of a release of claims against the Company. Mr. De Shon’s agreement provides for non-competition and non-solicitation covenants which will last two years following Mr. De Shon’s employment with us.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Messrs. Ferraro and Tucker</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severance agreement for each of Mr. Ferraro and Mr. Tucker provides that if the executive’s employment is terminated by us other than for “Cause” (as described below), disability or death, he will receive a lump-sum severance payout equal to 200% of the sum of base salary plus target incentive bonus, and perquisites to include car usage, financial planning and health coverage for a period of 24 months. In addition, in connection with such termination, each agreement also generally provides for accelerated vesting on termination of the stock-based awards which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Severance is contingent upon execution of a separation agreement containing a release of claims against the Company and non-competition covenants.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Servodidio</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2019, the Company entered into a Separation Agreement with Mr. Servodidio in connection with his resignation from the Company, which will become effective on June 14, 2019. Previously, Mr. Servodidio was party to a severance agreement on substantially the same terms as described above for Messrs. Ferraro and Tucker (the “Prior Agreement”). The Separation Agreement generally provides for severance in accordance with the Prior Agreement, subject to a release condition and continuation of restricted covenants, including non-competition and non-solicitation.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 Smith</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2017, the Company entered into a letter agreement with Mr. Smith in connection with his interim appointment to Chief Financial Officer. In addition to providing for a minimum base salary of $575,000 and employee benefit plans generally available to our executive officers, including expatriate benefits, Mr. Smith’s agreement provides for an annual incentive award with a target amount equal to 80% of his base salary, subject to attainment of performance goals. The agreement also provides for certain tax and short-term relocation benefits generally in accordance with the Company’s standard policies. In February 2019, Mr. Smith’s agreement was amended to provide that for a period of six months following the effective date of the appointment by the Company of its next permanent Chief Financial Officer (which occurred on March 18, 2019), Mr. Smith will provide transition and advisory services. So long as Mr. Smith does not voluntarily resign and is not terminated by the Company for cause, during this six-month period he will continue to be paid his current base salary and following this six-month period he will be paid an amount equal to $912,500, upon execution of a release of claims against the Company to include post-termination restrictive covenants. In approving the amendments to Mr. Smith’s agreement, the Committee recognized Mr. Smith’s 16-year tenure with the Company and that the interim appointment was longer than originally anticipated, and was focused on retaining Mr. Smith to ensure a smooth transition to the permanent Chief Financial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no NEO is entitled to any tax gross-up or other payments for any “golden parachute” excise taxes, interest or penalties.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Defined Terms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Mr. De Shon:</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“Constructive Discharge” generally means (a) any material diminution to Mr. De Shon’s duties and responsibilities, including Mr. De Shon ceasing to be the most senior executive officer of a public company, (b) Mr. De Shon does not report directly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Board of Directors, (c) any material failure of the Company to fulfill its obligations under the applicable employment agreement, (d) the relocation of our business office more than 30 miles, or (e) the failure of a successor to the Company to assume the applicable employment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all our NEOs: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“Cause” is defined in the agreement for each NEO and generally includes the willful failure to substantially perform duties, any act of fraud, embezzlement or similar conduct and conviction of a felony.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Change-in-Control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 Under the Equity Plan:</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“Change in Control” is generally defined as (a) any person or entity is or becomes the “beneficial owner” of 50% or more of the combined voting power of the Company’s then outstanding voting securities; (b) a change in the majority of the members of the Board; (c) there is a merger or consolidation of the Company; or (d) shareholders of the Company approve a plan of complete liquidation or dissolution of the Company or there is a sale or disposition by the Company, of all or substantially all of the Company’s assets; and</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Potential severance payments are described above, none of which are payable solely due to a Change in Control (as defined above).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Severance and Change of Control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and narrative below describes the potential severance payments for each NEO, as of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Accelerated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Continuation</w:t>
            </w:r>
          </w:p>
        </w:tc>
        <w:tc>
          <w:tcPr>
            <w:tcW w:w="106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Lump-Sum</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Vesting of</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of Benefits</w:t>
            </w:r>
          </w:p>
        </w:tc>
        <w:tc>
          <w:tcPr>
            <w:tcW w:w="106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Stock-based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106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Payment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Perquisites</w:t>
            </w:r>
          </w:p>
        </w:tc>
        <w:tc>
          <w:tcPr>
            <w:tcW w:w="106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182"/>
        </w:trPr>
        <w:tc>
          <w:tcPr>
            <w:tcW w:w="5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and Triggering Event(a)</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w:t>
            </w: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Mr. De Shon</w:t>
            </w:r>
          </w:p>
        </w:tc>
        <w:tc>
          <w:tcPr>
            <w:tcW w:w="1600" w:type="dxa"/>
            <w:vAlign w:val="bottom"/>
            <w:shd w:val="clear" w:color="auto" w:fill="CCCCCC"/>
          </w:tcPr>
          <w:p>
            <w:pPr>
              <w:spacing w:after="0"/>
              <w:rPr>
                <w:sz w:val="14"/>
                <w:szCs w:val="14"/>
                <w:color w:val="auto"/>
              </w:rPr>
            </w:pPr>
          </w:p>
        </w:tc>
        <w:tc>
          <w:tcPr>
            <w:tcW w:w="1140" w:type="dxa"/>
            <w:vAlign w:val="bottom"/>
            <w:shd w:val="clear" w:color="auto" w:fill="CCCCCC"/>
          </w:tcPr>
          <w:p>
            <w:pPr>
              <w:spacing w:after="0"/>
              <w:rPr>
                <w:sz w:val="14"/>
                <w:szCs w:val="14"/>
                <w:color w:val="auto"/>
              </w:rPr>
            </w:pPr>
          </w:p>
        </w:tc>
        <w:tc>
          <w:tcPr>
            <w:tcW w:w="1660" w:type="dxa"/>
            <w:vAlign w:val="bottom"/>
            <w:shd w:val="clear" w:color="auto" w:fill="CCCCCC"/>
          </w:tcPr>
          <w:p>
            <w:pPr>
              <w:spacing w:after="0"/>
              <w:rPr>
                <w:sz w:val="14"/>
                <w:szCs w:val="14"/>
                <w:color w:val="auto"/>
              </w:rPr>
            </w:pPr>
          </w:p>
        </w:tc>
        <w:tc>
          <w:tcPr>
            <w:tcW w:w="1060" w:type="dxa"/>
            <w:vAlign w:val="bottom"/>
            <w:shd w:val="clear" w:color="auto" w:fill="CCCCCC"/>
          </w:tcPr>
          <w:p>
            <w:pPr>
              <w:spacing w:after="0"/>
              <w:rPr>
                <w:sz w:val="14"/>
                <w:szCs w:val="14"/>
                <w:color w:val="auto"/>
              </w:rPr>
            </w:pP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1,650,000</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7,736,537</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29,095</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9,415,632</w:t>
            </w: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5,500,000</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5,875,508</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80,476</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11,455,984</w:t>
            </w:r>
          </w:p>
        </w:tc>
      </w:tr>
      <w:tr>
        <w:trPr>
          <w:trHeight w:val="167"/>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600" w:type="dxa"/>
            <w:vAlign w:val="bottom"/>
            <w:shd w:val="clear" w:color="auto" w:fill="CCCCCC"/>
          </w:tcPr>
          <w:p>
            <w:pPr>
              <w:spacing w:after="0"/>
              <w:rPr>
                <w:sz w:val="14"/>
                <w:szCs w:val="14"/>
                <w:color w:val="auto"/>
              </w:rPr>
            </w:pPr>
          </w:p>
        </w:tc>
        <w:tc>
          <w:tcPr>
            <w:tcW w:w="1140" w:type="dxa"/>
            <w:vAlign w:val="bottom"/>
            <w:shd w:val="clear" w:color="auto" w:fill="CCCCCC"/>
          </w:tcPr>
          <w:p>
            <w:pPr>
              <w:spacing w:after="0"/>
              <w:rPr>
                <w:sz w:val="14"/>
                <w:szCs w:val="14"/>
                <w:color w:val="auto"/>
              </w:rPr>
            </w:pPr>
          </w:p>
        </w:tc>
        <w:tc>
          <w:tcPr>
            <w:tcW w:w="1660" w:type="dxa"/>
            <w:vAlign w:val="bottom"/>
            <w:shd w:val="clear" w:color="auto" w:fill="CCCCCC"/>
          </w:tcPr>
          <w:p>
            <w:pPr>
              <w:spacing w:after="0"/>
              <w:rPr>
                <w:sz w:val="14"/>
                <w:szCs w:val="14"/>
                <w:color w:val="auto"/>
              </w:rPr>
            </w:pPr>
          </w:p>
        </w:tc>
        <w:tc>
          <w:tcPr>
            <w:tcW w:w="1060" w:type="dxa"/>
            <w:vAlign w:val="bottom"/>
            <w:shd w:val="clear" w:color="auto" w:fill="CCCCCC"/>
          </w:tcPr>
          <w:p>
            <w:pPr>
              <w:spacing w:after="0"/>
              <w:rPr>
                <w:sz w:val="14"/>
                <w:szCs w:val="14"/>
                <w:color w:val="auto"/>
              </w:rPr>
            </w:pPr>
          </w:p>
        </w:tc>
      </w:tr>
      <w:tr>
        <w:trPr>
          <w:trHeight w:val="157"/>
        </w:trPr>
        <w:tc>
          <w:tcPr>
            <w:tcW w:w="5960" w:type="dxa"/>
            <w:vAlign w:val="bottom"/>
            <w:shd w:val="clear" w:color="auto" w:fill="CCCCCC"/>
          </w:tcPr>
          <w:p>
            <w:pPr>
              <w:ind w:left="240"/>
              <w:spacing w:after="0" w:line="157" w:lineRule="exact"/>
              <w:rPr>
                <w:sz w:val="20"/>
                <w:szCs w:val="20"/>
                <w:color w:val="auto"/>
              </w:rPr>
            </w:pPr>
            <w:r>
              <w:rPr>
                <w:rFonts w:ascii="Arial" w:cs="Arial" w:eastAsia="Arial" w:hAnsi="Arial"/>
                <w:sz w:val="14"/>
                <w:szCs w:val="14"/>
                <w:color w:val="auto"/>
              </w:rPr>
              <w:t>Constructive Discharge</w:t>
            </w:r>
          </w:p>
        </w:tc>
        <w:tc>
          <w:tcPr>
            <w:tcW w:w="1600" w:type="dxa"/>
            <w:vAlign w:val="bottom"/>
            <w:shd w:val="clear" w:color="auto" w:fill="CCCCCC"/>
          </w:tcPr>
          <w:p>
            <w:pPr>
              <w:jc w:val="right"/>
              <w:ind w:right="168"/>
              <w:spacing w:after="0" w:line="157" w:lineRule="exact"/>
              <w:rPr>
                <w:sz w:val="20"/>
                <w:szCs w:val="20"/>
                <w:color w:val="auto"/>
              </w:rPr>
            </w:pPr>
            <w:r>
              <w:rPr>
                <w:rFonts w:ascii="Arial" w:cs="Arial" w:eastAsia="Arial" w:hAnsi="Arial"/>
                <w:sz w:val="14"/>
                <w:szCs w:val="14"/>
                <w:color w:val="auto"/>
              </w:rPr>
              <w:t>5,500,000</w:t>
            </w:r>
          </w:p>
        </w:tc>
        <w:tc>
          <w:tcPr>
            <w:tcW w:w="1140" w:type="dxa"/>
            <w:vAlign w:val="bottom"/>
            <w:shd w:val="clear" w:color="auto" w:fill="CCCCCC"/>
          </w:tcPr>
          <w:p>
            <w:pPr>
              <w:jc w:val="right"/>
              <w:spacing w:after="0" w:line="157" w:lineRule="exact"/>
              <w:rPr>
                <w:sz w:val="20"/>
                <w:szCs w:val="20"/>
                <w:color w:val="auto"/>
              </w:rPr>
            </w:pPr>
            <w:r>
              <w:rPr>
                <w:rFonts w:ascii="Arial" w:cs="Arial" w:eastAsia="Arial" w:hAnsi="Arial"/>
                <w:sz w:val="14"/>
                <w:szCs w:val="14"/>
                <w:color w:val="auto"/>
              </w:rPr>
              <w:t>7,736,537</w:t>
            </w:r>
          </w:p>
        </w:tc>
        <w:tc>
          <w:tcPr>
            <w:tcW w:w="1660" w:type="dxa"/>
            <w:vAlign w:val="bottom"/>
            <w:shd w:val="clear" w:color="auto" w:fill="CCCCCC"/>
          </w:tcPr>
          <w:p>
            <w:pPr>
              <w:jc w:val="right"/>
              <w:ind w:right="228"/>
              <w:spacing w:after="0" w:line="157" w:lineRule="exact"/>
              <w:rPr>
                <w:sz w:val="20"/>
                <w:szCs w:val="20"/>
                <w:color w:val="auto"/>
              </w:rPr>
            </w:pPr>
            <w:r>
              <w:rPr>
                <w:rFonts w:ascii="Arial" w:cs="Arial" w:eastAsia="Arial" w:hAnsi="Arial"/>
                <w:sz w:val="14"/>
                <w:szCs w:val="14"/>
                <w:color w:val="auto"/>
              </w:rPr>
              <w:t>80,476</w:t>
            </w:r>
          </w:p>
        </w:tc>
        <w:tc>
          <w:tcPr>
            <w:tcW w:w="1060" w:type="dxa"/>
            <w:vAlign w:val="bottom"/>
            <w:shd w:val="clear" w:color="auto" w:fill="CCCCCC"/>
          </w:tcPr>
          <w:p>
            <w:pPr>
              <w:jc w:val="right"/>
              <w:spacing w:after="0" w:line="157" w:lineRule="exact"/>
              <w:rPr>
                <w:sz w:val="20"/>
                <w:szCs w:val="20"/>
                <w:color w:val="auto"/>
              </w:rPr>
            </w:pPr>
            <w:r>
              <w:rPr>
                <w:rFonts w:ascii="Arial" w:cs="Arial" w:eastAsia="Arial" w:hAnsi="Arial"/>
                <w:sz w:val="14"/>
                <w:szCs w:val="14"/>
                <w:color w:val="auto"/>
              </w:rPr>
              <w:t>13,317,013</w:t>
            </w:r>
          </w:p>
        </w:tc>
      </w:tr>
      <w:tr>
        <w:trPr>
          <w:trHeight w:val="162"/>
        </w:trPr>
        <w:tc>
          <w:tcPr>
            <w:tcW w:w="59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Change of Control Transaction without Termination</w:t>
            </w:r>
          </w:p>
        </w:tc>
        <w:tc>
          <w:tcPr>
            <w:tcW w:w="1600" w:type="dxa"/>
            <w:vAlign w:val="bottom"/>
            <w:tcBorders>
              <w:bottom w:val="single" w:sz="8" w:color="auto"/>
            </w:tcBorders>
            <w:shd w:val="clear" w:color="auto" w:fill="CCCCCC"/>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5960" w:type="dxa"/>
            <w:vAlign w:val="bottom"/>
          </w:tcPr>
          <w:p>
            <w:pPr>
              <w:ind w:left="60"/>
              <w:spacing w:after="0"/>
              <w:rPr>
                <w:sz w:val="20"/>
                <w:szCs w:val="20"/>
                <w:color w:val="auto"/>
              </w:rPr>
            </w:pPr>
            <w:r>
              <w:rPr>
                <w:rFonts w:ascii="Arial" w:cs="Arial" w:eastAsia="Arial" w:hAnsi="Arial"/>
                <w:sz w:val="14"/>
                <w:szCs w:val="14"/>
                <w:b w:val="1"/>
                <w:bCs w:val="1"/>
                <w:color w:val="auto"/>
              </w:rPr>
              <w:t>Mr. Smith(e)</w:t>
            </w: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400,000</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Termination by Company without Cause</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960" w:type="dxa"/>
            <w:vAlign w:val="bottom"/>
          </w:tcPr>
          <w:p>
            <w:pPr>
              <w:ind w:left="240"/>
              <w:spacing w:after="0"/>
              <w:rPr>
                <w:sz w:val="20"/>
                <w:szCs w:val="20"/>
                <w:color w:val="auto"/>
              </w:rPr>
            </w:pPr>
            <w:r>
              <w:rPr>
                <w:rFonts w:ascii="Arial" w:cs="Arial" w:eastAsia="Arial" w:hAnsi="Arial"/>
                <w:sz w:val="14"/>
                <w:szCs w:val="14"/>
                <w:color w:val="auto"/>
              </w:rPr>
              <w:t>Constructive Discharge</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400,000</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400,000</w:t>
            </w:r>
          </w:p>
        </w:tc>
      </w:tr>
      <w:tr>
        <w:trPr>
          <w:trHeight w:val="157"/>
        </w:trPr>
        <w:tc>
          <w:tcPr>
            <w:tcW w:w="596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Change of Control Transaction without Termination</w:t>
            </w:r>
          </w:p>
        </w:tc>
        <w:tc>
          <w:tcPr>
            <w:tcW w:w="16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r>
      <w:tr>
        <w:trPr>
          <w:trHeight w:val="156"/>
        </w:trPr>
        <w:tc>
          <w:tcPr>
            <w:tcW w:w="5960" w:type="dxa"/>
            <w:vAlign w:val="bottom"/>
            <w:shd w:val="clear" w:color="auto" w:fill="CCCCCC"/>
          </w:tcPr>
          <w:p>
            <w:pPr>
              <w:ind w:left="60"/>
              <w:spacing w:after="0" w:line="155" w:lineRule="exact"/>
              <w:rPr>
                <w:sz w:val="20"/>
                <w:szCs w:val="20"/>
                <w:color w:val="auto"/>
              </w:rPr>
            </w:pPr>
            <w:r>
              <w:rPr>
                <w:rFonts w:ascii="Arial" w:cs="Arial" w:eastAsia="Arial" w:hAnsi="Arial"/>
                <w:sz w:val="14"/>
                <w:szCs w:val="14"/>
                <w:b w:val="1"/>
                <w:bCs w:val="1"/>
                <w:color w:val="auto"/>
              </w:rPr>
              <w:t>Mr. Ferraro</w:t>
            </w:r>
          </w:p>
        </w:tc>
        <w:tc>
          <w:tcPr>
            <w:tcW w:w="1600" w:type="dxa"/>
            <w:vAlign w:val="bottom"/>
            <w:shd w:val="clear" w:color="auto" w:fill="CCCCCC"/>
          </w:tcPr>
          <w:p>
            <w:pPr>
              <w:spacing w:after="0"/>
              <w:rPr>
                <w:sz w:val="13"/>
                <w:szCs w:val="13"/>
                <w:color w:val="auto"/>
              </w:rPr>
            </w:pPr>
          </w:p>
        </w:tc>
        <w:tc>
          <w:tcPr>
            <w:tcW w:w="114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1060" w:type="dxa"/>
            <w:vAlign w:val="bottom"/>
            <w:shd w:val="clear" w:color="auto" w:fill="CCCCCC"/>
          </w:tcPr>
          <w:p>
            <w:pPr>
              <w:spacing w:after="0"/>
              <w:rPr>
                <w:sz w:val="13"/>
                <w:szCs w:val="13"/>
                <w:color w:val="auto"/>
              </w:rPr>
            </w:pP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902,525</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2,307,595</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3,210,120</w:t>
            </w: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by Company without Cause</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2,600,000</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1,938,473</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90,801</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4,629,274</w:t>
            </w:r>
          </w:p>
        </w:tc>
      </w:tr>
      <w:tr>
        <w:trPr>
          <w:trHeight w:val="167"/>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 a</w:t>
            </w:r>
          </w:p>
        </w:tc>
        <w:tc>
          <w:tcPr>
            <w:tcW w:w="1600" w:type="dxa"/>
            <w:vAlign w:val="bottom"/>
            <w:shd w:val="clear" w:color="auto" w:fill="CCCCCC"/>
          </w:tcPr>
          <w:p>
            <w:pPr>
              <w:spacing w:after="0"/>
              <w:rPr>
                <w:sz w:val="14"/>
                <w:szCs w:val="14"/>
                <w:color w:val="auto"/>
              </w:rPr>
            </w:pPr>
          </w:p>
        </w:tc>
        <w:tc>
          <w:tcPr>
            <w:tcW w:w="1140" w:type="dxa"/>
            <w:vAlign w:val="bottom"/>
            <w:shd w:val="clear" w:color="auto" w:fill="CCCCCC"/>
          </w:tcPr>
          <w:p>
            <w:pPr>
              <w:spacing w:after="0"/>
              <w:rPr>
                <w:sz w:val="14"/>
                <w:szCs w:val="14"/>
                <w:color w:val="auto"/>
              </w:rPr>
            </w:pPr>
          </w:p>
        </w:tc>
        <w:tc>
          <w:tcPr>
            <w:tcW w:w="1660" w:type="dxa"/>
            <w:vAlign w:val="bottom"/>
            <w:shd w:val="clear" w:color="auto" w:fill="CCCCCC"/>
          </w:tcPr>
          <w:p>
            <w:pPr>
              <w:spacing w:after="0"/>
              <w:rPr>
                <w:sz w:val="14"/>
                <w:szCs w:val="14"/>
                <w:color w:val="auto"/>
              </w:rPr>
            </w:pPr>
          </w:p>
        </w:tc>
        <w:tc>
          <w:tcPr>
            <w:tcW w:w="1060" w:type="dxa"/>
            <w:vAlign w:val="bottom"/>
            <w:shd w:val="clear" w:color="auto" w:fill="CCCCCC"/>
          </w:tcPr>
          <w:p>
            <w:pPr>
              <w:spacing w:after="0"/>
              <w:rPr>
                <w:sz w:val="14"/>
                <w:szCs w:val="14"/>
                <w:color w:val="auto"/>
              </w:rPr>
            </w:pPr>
          </w:p>
        </w:tc>
      </w:tr>
      <w:tr>
        <w:trPr>
          <w:trHeight w:val="157"/>
        </w:trPr>
        <w:tc>
          <w:tcPr>
            <w:tcW w:w="5960" w:type="dxa"/>
            <w:vAlign w:val="bottom"/>
            <w:shd w:val="clear" w:color="auto" w:fill="CCCCCC"/>
          </w:tcPr>
          <w:p>
            <w:pPr>
              <w:ind w:left="240"/>
              <w:spacing w:after="0" w:line="157" w:lineRule="exact"/>
              <w:rPr>
                <w:sz w:val="20"/>
                <w:szCs w:val="20"/>
                <w:color w:val="auto"/>
              </w:rPr>
            </w:pPr>
            <w:r>
              <w:rPr>
                <w:rFonts w:ascii="Arial" w:cs="Arial" w:eastAsia="Arial" w:hAnsi="Arial"/>
                <w:sz w:val="14"/>
                <w:szCs w:val="14"/>
                <w:color w:val="auto"/>
              </w:rPr>
              <w:t>Constructive Discharge</w:t>
            </w:r>
          </w:p>
        </w:tc>
        <w:tc>
          <w:tcPr>
            <w:tcW w:w="1600" w:type="dxa"/>
            <w:vAlign w:val="bottom"/>
            <w:shd w:val="clear" w:color="auto" w:fill="CCCCCC"/>
          </w:tcPr>
          <w:p>
            <w:pPr>
              <w:jc w:val="right"/>
              <w:ind w:right="168"/>
              <w:spacing w:after="0" w:line="157" w:lineRule="exact"/>
              <w:rPr>
                <w:sz w:val="20"/>
                <w:szCs w:val="20"/>
                <w:color w:val="auto"/>
              </w:rPr>
            </w:pPr>
            <w:r>
              <w:rPr>
                <w:rFonts w:ascii="Arial" w:cs="Arial" w:eastAsia="Arial" w:hAnsi="Arial"/>
                <w:sz w:val="14"/>
                <w:szCs w:val="14"/>
                <w:color w:val="auto"/>
              </w:rPr>
              <w:t>2,600,000</w:t>
            </w:r>
          </w:p>
        </w:tc>
        <w:tc>
          <w:tcPr>
            <w:tcW w:w="1140" w:type="dxa"/>
            <w:vAlign w:val="bottom"/>
            <w:shd w:val="clear" w:color="auto" w:fill="CCCCCC"/>
          </w:tcPr>
          <w:p>
            <w:pPr>
              <w:jc w:val="right"/>
              <w:spacing w:after="0" w:line="157" w:lineRule="exact"/>
              <w:rPr>
                <w:sz w:val="20"/>
                <w:szCs w:val="20"/>
                <w:color w:val="auto"/>
              </w:rPr>
            </w:pPr>
            <w:r>
              <w:rPr>
                <w:rFonts w:ascii="Arial" w:cs="Arial" w:eastAsia="Arial" w:hAnsi="Arial"/>
                <w:sz w:val="14"/>
                <w:szCs w:val="14"/>
                <w:color w:val="auto"/>
              </w:rPr>
              <w:t>2,307,595</w:t>
            </w:r>
          </w:p>
        </w:tc>
        <w:tc>
          <w:tcPr>
            <w:tcW w:w="1660" w:type="dxa"/>
            <w:vAlign w:val="bottom"/>
            <w:shd w:val="clear" w:color="auto" w:fill="CCCCCC"/>
          </w:tcPr>
          <w:p>
            <w:pPr>
              <w:jc w:val="right"/>
              <w:ind w:right="228"/>
              <w:spacing w:after="0" w:line="157" w:lineRule="exact"/>
              <w:rPr>
                <w:sz w:val="20"/>
                <w:szCs w:val="20"/>
                <w:color w:val="auto"/>
              </w:rPr>
            </w:pPr>
            <w:r>
              <w:rPr>
                <w:rFonts w:ascii="Arial" w:cs="Arial" w:eastAsia="Arial" w:hAnsi="Arial"/>
                <w:sz w:val="14"/>
                <w:szCs w:val="14"/>
                <w:color w:val="auto"/>
              </w:rPr>
              <w:t>90,801</w:t>
            </w:r>
          </w:p>
        </w:tc>
        <w:tc>
          <w:tcPr>
            <w:tcW w:w="1060" w:type="dxa"/>
            <w:vAlign w:val="bottom"/>
            <w:shd w:val="clear" w:color="auto" w:fill="CCCCCC"/>
          </w:tcPr>
          <w:p>
            <w:pPr>
              <w:jc w:val="right"/>
              <w:spacing w:after="0" w:line="157" w:lineRule="exact"/>
              <w:rPr>
                <w:sz w:val="20"/>
                <w:szCs w:val="20"/>
                <w:color w:val="auto"/>
              </w:rPr>
            </w:pPr>
            <w:r>
              <w:rPr>
                <w:rFonts w:ascii="Arial" w:cs="Arial" w:eastAsia="Arial" w:hAnsi="Arial"/>
                <w:sz w:val="14"/>
                <w:szCs w:val="14"/>
                <w:color w:val="auto"/>
              </w:rPr>
              <w:t>4,998,396</w:t>
            </w:r>
          </w:p>
        </w:tc>
      </w:tr>
      <w:tr>
        <w:trPr>
          <w:trHeight w:val="162"/>
        </w:trPr>
        <w:tc>
          <w:tcPr>
            <w:tcW w:w="59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Change of Control Transaction without Termination</w:t>
            </w:r>
          </w:p>
        </w:tc>
        <w:tc>
          <w:tcPr>
            <w:tcW w:w="1600" w:type="dxa"/>
            <w:vAlign w:val="bottom"/>
            <w:tcBorders>
              <w:bottom w:val="single" w:sz="8" w:color="auto"/>
            </w:tcBorders>
            <w:shd w:val="clear" w:color="auto" w:fill="CCCCCC"/>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r>
      <w:tr>
        <w:trPr>
          <w:trHeight w:val="160"/>
        </w:trPr>
        <w:tc>
          <w:tcPr>
            <w:tcW w:w="5960" w:type="dxa"/>
            <w:vAlign w:val="bottom"/>
          </w:tcPr>
          <w:p>
            <w:pPr>
              <w:ind w:left="60"/>
              <w:spacing w:after="0"/>
              <w:rPr>
                <w:sz w:val="20"/>
                <w:szCs w:val="20"/>
                <w:color w:val="auto"/>
              </w:rPr>
            </w:pPr>
            <w:r>
              <w:rPr>
                <w:rFonts w:ascii="Arial" w:cs="Arial" w:eastAsia="Arial" w:hAnsi="Arial"/>
                <w:sz w:val="14"/>
                <w:szCs w:val="14"/>
                <w:b w:val="1"/>
                <w:bCs w:val="1"/>
                <w:color w:val="auto"/>
              </w:rPr>
              <w:t>Mr. Servodidio(f)</w:t>
            </w: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288,750</w:t>
            </w:r>
          </w:p>
        </w:tc>
        <w:tc>
          <w:tcPr>
            <w:tcW w:w="1140" w:type="dxa"/>
            <w:vAlign w:val="bottom"/>
          </w:tcPr>
          <w:p>
            <w:pPr>
              <w:jc w:val="right"/>
              <w:spacing w:after="0"/>
              <w:rPr>
                <w:sz w:val="20"/>
                <w:szCs w:val="20"/>
                <w:color w:val="auto"/>
              </w:rPr>
            </w:pPr>
            <w:r>
              <w:rPr>
                <w:rFonts w:ascii="Arial" w:cs="Arial" w:eastAsia="Arial" w:hAnsi="Arial"/>
                <w:sz w:val="14"/>
                <w:szCs w:val="14"/>
                <w:color w:val="auto"/>
              </w:rPr>
              <w:t>1,985,479</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2,274,229</w:t>
            </w: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Termination by Company without Cause</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2,500,000</w:t>
            </w:r>
          </w:p>
        </w:tc>
        <w:tc>
          <w:tcPr>
            <w:tcW w:w="1140" w:type="dxa"/>
            <w:vAlign w:val="bottom"/>
          </w:tcPr>
          <w:p>
            <w:pPr>
              <w:jc w:val="right"/>
              <w:spacing w:after="0"/>
              <w:rPr>
                <w:sz w:val="20"/>
                <w:szCs w:val="20"/>
                <w:color w:val="auto"/>
              </w:rPr>
            </w:pPr>
            <w:r>
              <w:rPr>
                <w:rFonts w:ascii="Arial" w:cs="Arial" w:eastAsia="Arial" w:hAnsi="Arial"/>
                <w:sz w:val="14"/>
                <w:szCs w:val="14"/>
                <w:color w:val="auto"/>
              </w:rPr>
              <w:t>1,616,357</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83,244</w:t>
            </w:r>
          </w:p>
        </w:tc>
        <w:tc>
          <w:tcPr>
            <w:tcW w:w="1060" w:type="dxa"/>
            <w:vAlign w:val="bottom"/>
          </w:tcPr>
          <w:p>
            <w:pPr>
              <w:jc w:val="right"/>
              <w:spacing w:after="0"/>
              <w:rPr>
                <w:sz w:val="20"/>
                <w:szCs w:val="20"/>
                <w:color w:val="auto"/>
              </w:rPr>
            </w:pPr>
            <w:r>
              <w:rPr>
                <w:rFonts w:ascii="Arial" w:cs="Arial" w:eastAsia="Arial" w:hAnsi="Arial"/>
                <w:sz w:val="14"/>
                <w:szCs w:val="14"/>
                <w:color w:val="auto"/>
              </w:rPr>
              <w:t>4,199,601</w:t>
            </w:r>
          </w:p>
        </w:tc>
      </w:tr>
      <w:tr>
        <w:trPr>
          <w:trHeight w:val="162"/>
        </w:trPr>
        <w:tc>
          <w:tcPr>
            <w:tcW w:w="5960" w:type="dxa"/>
            <w:vAlign w:val="bottom"/>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960" w:type="dxa"/>
            <w:vAlign w:val="bottom"/>
          </w:tcPr>
          <w:p>
            <w:pPr>
              <w:ind w:left="240"/>
              <w:spacing w:after="0"/>
              <w:rPr>
                <w:sz w:val="20"/>
                <w:szCs w:val="20"/>
                <w:color w:val="auto"/>
              </w:rPr>
            </w:pPr>
            <w:r>
              <w:rPr>
                <w:rFonts w:ascii="Arial" w:cs="Arial" w:eastAsia="Arial" w:hAnsi="Arial"/>
                <w:sz w:val="14"/>
                <w:szCs w:val="14"/>
                <w:color w:val="auto"/>
              </w:rPr>
              <w:t>Constructive Discharge</w:t>
            </w:r>
          </w:p>
        </w:tc>
        <w:tc>
          <w:tcPr>
            <w:tcW w:w="1600" w:type="dxa"/>
            <w:vAlign w:val="bottom"/>
          </w:tcPr>
          <w:p>
            <w:pPr>
              <w:jc w:val="right"/>
              <w:ind w:right="168"/>
              <w:spacing w:after="0"/>
              <w:rPr>
                <w:sz w:val="20"/>
                <w:szCs w:val="20"/>
                <w:color w:val="auto"/>
              </w:rPr>
            </w:pPr>
            <w:r>
              <w:rPr>
                <w:rFonts w:ascii="Arial" w:cs="Arial" w:eastAsia="Arial" w:hAnsi="Arial"/>
                <w:sz w:val="14"/>
                <w:szCs w:val="14"/>
                <w:color w:val="auto"/>
              </w:rPr>
              <w:t>2,500,000</w:t>
            </w:r>
          </w:p>
        </w:tc>
        <w:tc>
          <w:tcPr>
            <w:tcW w:w="1140" w:type="dxa"/>
            <w:vAlign w:val="bottom"/>
          </w:tcPr>
          <w:p>
            <w:pPr>
              <w:jc w:val="right"/>
              <w:spacing w:after="0"/>
              <w:rPr>
                <w:sz w:val="20"/>
                <w:szCs w:val="20"/>
                <w:color w:val="auto"/>
              </w:rPr>
            </w:pPr>
            <w:r>
              <w:rPr>
                <w:rFonts w:ascii="Arial" w:cs="Arial" w:eastAsia="Arial" w:hAnsi="Arial"/>
                <w:sz w:val="14"/>
                <w:szCs w:val="14"/>
                <w:color w:val="auto"/>
              </w:rPr>
              <w:t>1,985,479</w:t>
            </w: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83,244</w:t>
            </w:r>
          </w:p>
        </w:tc>
        <w:tc>
          <w:tcPr>
            <w:tcW w:w="1060" w:type="dxa"/>
            <w:vAlign w:val="bottom"/>
          </w:tcPr>
          <w:p>
            <w:pPr>
              <w:jc w:val="right"/>
              <w:spacing w:after="0"/>
              <w:rPr>
                <w:sz w:val="20"/>
                <w:szCs w:val="20"/>
                <w:color w:val="auto"/>
              </w:rPr>
            </w:pPr>
            <w:r>
              <w:rPr>
                <w:rFonts w:ascii="Arial" w:cs="Arial" w:eastAsia="Arial" w:hAnsi="Arial"/>
                <w:sz w:val="14"/>
                <w:szCs w:val="14"/>
                <w:color w:val="auto"/>
              </w:rPr>
              <w:t>4,568,723</w:t>
            </w:r>
          </w:p>
        </w:tc>
      </w:tr>
      <w:tr>
        <w:trPr>
          <w:trHeight w:val="157"/>
        </w:trPr>
        <w:tc>
          <w:tcPr>
            <w:tcW w:w="596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Change of Control Transaction without Termination</w:t>
            </w:r>
          </w:p>
        </w:tc>
        <w:tc>
          <w:tcPr>
            <w:tcW w:w="16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r>
      <w:tr>
        <w:trPr>
          <w:trHeight w:val="156"/>
        </w:trPr>
        <w:tc>
          <w:tcPr>
            <w:tcW w:w="5960" w:type="dxa"/>
            <w:vAlign w:val="bottom"/>
            <w:shd w:val="clear" w:color="auto" w:fill="CCCCCC"/>
          </w:tcPr>
          <w:p>
            <w:pPr>
              <w:ind w:left="60"/>
              <w:spacing w:after="0" w:line="155" w:lineRule="exact"/>
              <w:rPr>
                <w:sz w:val="20"/>
                <w:szCs w:val="20"/>
                <w:color w:val="auto"/>
              </w:rPr>
            </w:pPr>
            <w:r>
              <w:rPr>
                <w:rFonts w:ascii="Arial" w:cs="Arial" w:eastAsia="Arial" w:hAnsi="Arial"/>
                <w:sz w:val="14"/>
                <w:szCs w:val="14"/>
                <w:b w:val="1"/>
                <w:bCs w:val="1"/>
                <w:color w:val="auto"/>
              </w:rPr>
              <w:t>Mr. Tucker</w:t>
            </w:r>
          </w:p>
        </w:tc>
        <w:tc>
          <w:tcPr>
            <w:tcW w:w="1600" w:type="dxa"/>
            <w:vAlign w:val="bottom"/>
            <w:shd w:val="clear" w:color="auto" w:fill="CCCCCC"/>
          </w:tcPr>
          <w:p>
            <w:pPr>
              <w:spacing w:after="0"/>
              <w:rPr>
                <w:sz w:val="13"/>
                <w:szCs w:val="13"/>
                <w:color w:val="auto"/>
              </w:rPr>
            </w:pPr>
          </w:p>
        </w:tc>
        <w:tc>
          <w:tcPr>
            <w:tcW w:w="114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1060" w:type="dxa"/>
            <w:vAlign w:val="bottom"/>
            <w:shd w:val="clear" w:color="auto" w:fill="CCCCCC"/>
          </w:tcPr>
          <w:p>
            <w:pPr>
              <w:spacing w:after="0"/>
              <w:rPr>
                <w:sz w:val="13"/>
                <w:szCs w:val="13"/>
                <w:color w:val="auto"/>
              </w:rPr>
            </w:pP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386,250</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817,395</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1,203,645</w:t>
            </w:r>
          </w:p>
        </w:tc>
      </w:tr>
      <w:tr>
        <w:trPr>
          <w:trHeight w:val="162"/>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by Company without Cause</w:t>
            </w:r>
          </w:p>
        </w:tc>
        <w:tc>
          <w:tcPr>
            <w:tcW w:w="1600" w:type="dxa"/>
            <w:vAlign w:val="bottom"/>
            <w:shd w:val="clear" w:color="auto" w:fill="CCCCCC"/>
          </w:tcPr>
          <w:p>
            <w:pPr>
              <w:jc w:val="right"/>
              <w:ind w:right="168"/>
              <w:spacing w:after="0"/>
              <w:rPr>
                <w:sz w:val="20"/>
                <w:szCs w:val="20"/>
                <w:color w:val="auto"/>
              </w:rPr>
            </w:pPr>
            <w:r>
              <w:rPr>
                <w:rFonts w:ascii="Arial" w:cs="Arial" w:eastAsia="Arial" w:hAnsi="Arial"/>
                <w:sz w:val="14"/>
                <w:szCs w:val="14"/>
                <w:color w:val="auto"/>
              </w:rPr>
              <w:t>1,750,000</w:t>
            </w:r>
          </w:p>
        </w:tc>
        <w:tc>
          <w:tcPr>
            <w:tcW w:w="1140" w:type="dxa"/>
            <w:vAlign w:val="bottom"/>
            <w:shd w:val="clear" w:color="auto" w:fill="CCCCCC"/>
          </w:tcPr>
          <w:p>
            <w:pPr>
              <w:jc w:val="right"/>
              <w:spacing w:after="0"/>
              <w:rPr>
                <w:sz w:val="20"/>
                <w:szCs w:val="20"/>
                <w:color w:val="auto"/>
              </w:rPr>
            </w:pPr>
            <w:r>
              <w:rPr>
                <w:rFonts w:ascii="Arial" w:cs="Arial" w:eastAsia="Arial" w:hAnsi="Arial"/>
                <w:sz w:val="14"/>
                <w:szCs w:val="14"/>
                <w:color w:val="auto"/>
              </w:rPr>
              <w:t>694,347</w:t>
            </w:r>
          </w:p>
        </w:tc>
        <w:tc>
          <w:tcPr>
            <w:tcW w:w="1660" w:type="dxa"/>
            <w:vAlign w:val="bottom"/>
            <w:shd w:val="clear" w:color="auto" w:fill="CCCCCC"/>
          </w:tcPr>
          <w:p>
            <w:pPr>
              <w:jc w:val="right"/>
              <w:ind w:right="228"/>
              <w:spacing w:after="0"/>
              <w:rPr>
                <w:sz w:val="20"/>
                <w:szCs w:val="20"/>
                <w:color w:val="auto"/>
              </w:rPr>
            </w:pPr>
            <w:r>
              <w:rPr>
                <w:rFonts w:ascii="Arial" w:cs="Arial" w:eastAsia="Arial" w:hAnsi="Arial"/>
                <w:sz w:val="14"/>
                <w:szCs w:val="14"/>
                <w:color w:val="auto"/>
              </w:rPr>
              <w:t>55,523</w:t>
            </w:r>
          </w:p>
        </w:tc>
        <w:tc>
          <w:tcPr>
            <w:tcW w:w="1060" w:type="dxa"/>
            <w:vAlign w:val="bottom"/>
            <w:shd w:val="clear" w:color="auto" w:fill="CCCCCC"/>
          </w:tcPr>
          <w:p>
            <w:pPr>
              <w:jc w:val="right"/>
              <w:spacing w:after="0"/>
              <w:rPr>
                <w:sz w:val="20"/>
                <w:szCs w:val="20"/>
                <w:color w:val="auto"/>
              </w:rPr>
            </w:pPr>
            <w:r>
              <w:rPr>
                <w:rFonts w:ascii="Arial" w:cs="Arial" w:eastAsia="Arial" w:hAnsi="Arial"/>
                <w:sz w:val="14"/>
                <w:szCs w:val="14"/>
                <w:color w:val="auto"/>
              </w:rPr>
              <w:t>2,499,870</w:t>
            </w:r>
          </w:p>
        </w:tc>
      </w:tr>
      <w:tr>
        <w:trPr>
          <w:trHeight w:val="167"/>
        </w:trPr>
        <w:tc>
          <w:tcPr>
            <w:tcW w:w="5960" w:type="dxa"/>
            <w:vAlign w:val="bottom"/>
            <w:shd w:val="clear" w:color="auto" w:fill="CCCCCC"/>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600" w:type="dxa"/>
            <w:vAlign w:val="bottom"/>
            <w:shd w:val="clear" w:color="auto" w:fill="CCCCCC"/>
          </w:tcPr>
          <w:p>
            <w:pPr>
              <w:spacing w:after="0"/>
              <w:rPr>
                <w:sz w:val="14"/>
                <w:szCs w:val="14"/>
                <w:color w:val="auto"/>
              </w:rPr>
            </w:pPr>
          </w:p>
        </w:tc>
        <w:tc>
          <w:tcPr>
            <w:tcW w:w="1140" w:type="dxa"/>
            <w:vAlign w:val="bottom"/>
            <w:shd w:val="clear" w:color="auto" w:fill="CCCCCC"/>
          </w:tcPr>
          <w:p>
            <w:pPr>
              <w:spacing w:after="0"/>
              <w:rPr>
                <w:sz w:val="14"/>
                <w:szCs w:val="14"/>
                <w:color w:val="auto"/>
              </w:rPr>
            </w:pPr>
          </w:p>
        </w:tc>
        <w:tc>
          <w:tcPr>
            <w:tcW w:w="1660" w:type="dxa"/>
            <w:vAlign w:val="bottom"/>
            <w:shd w:val="clear" w:color="auto" w:fill="CCCCCC"/>
          </w:tcPr>
          <w:p>
            <w:pPr>
              <w:spacing w:after="0"/>
              <w:rPr>
                <w:sz w:val="14"/>
                <w:szCs w:val="14"/>
                <w:color w:val="auto"/>
              </w:rPr>
            </w:pPr>
          </w:p>
        </w:tc>
        <w:tc>
          <w:tcPr>
            <w:tcW w:w="1060" w:type="dxa"/>
            <w:vAlign w:val="bottom"/>
            <w:shd w:val="clear" w:color="auto" w:fill="CCCCCC"/>
          </w:tcPr>
          <w:p>
            <w:pPr>
              <w:spacing w:after="0"/>
              <w:rPr>
                <w:sz w:val="14"/>
                <w:szCs w:val="14"/>
                <w:color w:val="auto"/>
              </w:rPr>
            </w:pPr>
          </w:p>
        </w:tc>
      </w:tr>
      <w:tr>
        <w:trPr>
          <w:trHeight w:val="157"/>
        </w:trPr>
        <w:tc>
          <w:tcPr>
            <w:tcW w:w="5960" w:type="dxa"/>
            <w:vAlign w:val="bottom"/>
            <w:shd w:val="clear" w:color="auto" w:fill="CCCCCC"/>
          </w:tcPr>
          <w:p>
            <w:pPr>
              <w:ind w:left="240"/>
              <w:spacing w:after="0" w:line="157" w:lineRule="exact"/>
              <w:rPr>
                <w:sz w:val="20"/>
                <w:szCs w:val="20"/>
                <w:color w:val="auto"/>
              </w:rPr>
            </w:pPr>
            <w:r>
              <w:rPr>
                <w:rFonts w:ascii="Arial" w:cs="Arial" w:eastAsia="Arial" w:hAnsi="Arial"/>
                <w:sz w:val="14"/>
                <w:szCs w:val="14"/>
                <w:color w:val="auto"/>
              </w:rPr>
              <w:t>Constructive Discharge</w:t>
            </w:r>
          </w:p>
        </w:tc>
        <w:tc>
          <w:tcPr>
            <w:tcW w:w="1600" w:type="dxa"/>
            <w:vAlign w:val="bottom"/>
            <w:shd w:val="clear" w:color="auto" w:fill="CCCCCC"/>
          </w:tcPr>
          <w:p>
            <w:pPr>
              <w:jc w:val="right"/>
              <w:ind w:right="168"/>
              <w:spacing w:after="0" w:line="157" w:lineRule="exact"/>
              <w:rPr>
                <w:sz w:val="20"/>
                <w:szCs w:val="20"/>
                <w:color w:val="auto"/>
              </w:rPr>
            </w:pPr>
            <w:r>
              <w:rPr>
                <w:rFonts w:ascii="Arial" w:cs="Arial" w:eastAsia="Arial" w:hAnsi="Arial"/>
                <w:sz w:val="14"/>
                <w:szCs w:val="14"/>
                <w:color w:val="auto"/>
              </w:rPr>
              <w:t>1,750,000</w:t>
            </w:r>
          </w:p>
        </w:tc>
        <w:tc>
          <w:tcPr>
            <w:tcW w:w="1140" w:type="dxa"/>
            <w:vAlign w:val="bottom"/>
            <w:shd w:val="clear" w:color="auto" w:fill="CCCCCC"/>
          </w:tcPr>
          <w:p>
            <w:pPr>
              <w:jc w:val="right"/>
              <w:spacing w:after="0" w:line="157" w:lineRule="exact"/>
              <w:rPr>
                <w:sz w:val="20"/>
                <w:szCs w:val="20"/>
                <w:color w:val="auto"/>
              </w:rPr>
            </w:pPr>
            <w:r>
              <w:rPr>
                <w:rFonts w:ascii="Arial" w:cs="Arial" w:eastAsia="Arial" w:hAnsi="Arial"/>
                <w:sz w:val="14"/>
                <w:szCs w:val="14"/>
                <w:color w:val="auto"/>
              </w:rPr>
              <w:t>817,395</w:t>
            </w:r>
          </w:p>
        </w:tc>
        <w:tc>
          <w:tcPr>
            <w:tcW w:w="1660" w:type="dxa"/>
            <w:vAlign w:val="bottom"/>
            <w:shd w:val="clear" w:color="auto" w:fill="CCCCCC"/>
          </w:tcPr>
          <w:p>
            <w:pPr>
              <w:jc w:val="right"/>
              <w:ind w:right="228"/>
              <w:spacing w:after="0" w:line="157" w:lineRule="exact"/>
              <w:rPr>
                <w:sz w:val="20"/>
                <w:szCs w:val="20"/>
                <w:color w:val="auto"/>
              </w:rPr>
            </w:pPr>
            <w:r>
              <w:rPr>
                <w:rFonts w:ascii="Arial" w:cs="Arial" w:eastAsia="Arial" w:hAnsi="Arial"/>
                <w:sz w:val="14"/>
                <w:szCs w:val="14"/>
                <w:color w:val="auto"/>
              </w:rPr>
              <w:t>55,523</w:t>
            </w:r>
          </w:p>
        </w:tc>
        <w:tc>
          <w:tcPr>
            <w:tcW w:w="1060" w:type="dxa"/>
            <w:vAlign w:val="bottom"/>
            <w:shd w:val="clear" w:color="auto" w:fill="CCCCCC"/>
          </w:tcPr>
          <w:p>
            <w:pPr>
              <w:jc w:val="right"/>
              <w:spacing w:after="0" w:line="157" w:lineRule="exact"/>
              <w:rPr>
                <w:sz w:val="20"/>
                <w:szCs w:val="20"/>
                <w:color w:val="auto"/>
              </w:rPr>
            </w:pPr>
            <w:r>
              <w:rPr>
                <w:rFonts w:ascii="Arial" w:cs="Arial" w:eastAsia="Arial" w:hAnsi="Arial"/>
                <w:sz w:val="14"/>
                <w:szCs w:val="14"/>
                <w:color w:val="auto"/>
              </w:rPr>
              <w:t>2,622,918</w:t>
            </w:r>
          </w:p>
        </w:tc>
      </w:tr>
      <w:tr>
        <w:trPr>
          <w:trHeight w:val="169"/>
        </w:trPr>
        <w:tc>
          <w:tcPr>
            <w:tcW w:w="59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Change of Control Transaction without Termination</w:t>
            </w:r>
          </w:p>
        </w:tc>
        <w:tc>
          <w:tcPr>
            <w:tcW w:w="1600" w:type="dxa"/>
            <w:vAlign w:val="bottom"/>
            <w:tcBorders>
              <w:bottom w:val="single" w:sz="8" w:color="auto"/>
            </w:tcBorders>
            <w:shd w:val="clear" w:color="auto" w:fill="CCCCCC"/>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CCCC"/>
          </w:tcPr>
          <w:p>
            <w:pPr>
              <w:jc w:val="right"/>
              <w:ind w:right="2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4"/>
                <w:szCs w:val="14"/>
                <w:color w:val="auto"/>
              </w:rPr>
              <w:t>—</w:t>
            </w:r>
          </w:p>
        </w:tc>
      </w:tr>
    </w:tbl>
    <w:p>
      <w:pPr>
        <w:spacing w:after="0" w:line="175" w:lineRule="exact"/>
        <w:rPr>
          <w:sz w:val="20"/>
          <w:szCs w:val="20"/>
          <w:color w:val="auto"/>
        </w:rPr>
      </w:pPr>
    </w:p>
    <w:p>
      <w:pPr>
        <w:sectPr>
          <w:pgSz w:w="11900" w:h="16838" w:orient="portrait"/>
          <w:cols w:equalWidth="0" w:num="1">
            <w:col w:w="11420"/>
          </w:cols>
          <w:pgMar w:left="240" w:top="445" w:right="239" w:bottom="1440" w:gutter="0" w:footer="0" w:header="0"/>
        </w:sect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ind w:left="340" w:hanging="332"/>
        <w:spacing w:after="0" w:line="258"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Descriptions of the terms “Cause” and “Constructive Discharge” are provided above under the section captioned “Employment Agreements and Other Arrangements - Certain Defined Terms.” For severance payments for Mr. Smith, see below.</w:t>
      </w:r>
    </w:p>
    <w:p>
      <w:pPr>
        <w:spacing w:after="0" w:line="14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eligible NEOs, the lump-sum severance payments, other than due to death or disability, were calculated based on each executive’s base salary and target annual incentive as of December 31, 2018 and multiplied by 200%. Severance due to death and disability is calculated based on target annual incentive for Mr. De Shon and based on actual annual incentives for Messrs. Ferraro, Servodidio and Tucker.</w:t>
      </w:r>
    </w:p>
    <w:p>
      <w:pPr>
        <w:spacing w:after="0" w:line="14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2018 and based on the closing price of our Common Stock of $22.48. Descriptions of the accelerated vesting provisions are provided under “Employment Agreements and Other Arrangements.”</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Reflects 24 months of continued health, dental and car benefits and financial planning.</w:t>
      </w:r>
    </w:p>
    <w:p>
      <w:pPr>
        <w:spacing w:after="0" w:line="163"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 discussed above under “Employment Agreements and Other Arrangements”, Mr. Smith’s letter agreement was amended in February 2019 to provide that Mr. Smith will provide transition and advisory services for six months following the effective date of the Company’s appointment of its next permanent Chief Financial Officer, which occurred on March 18, 2019. A description of the actual payments Mr. Smith will receive pursuant to his letter agreement in connection with such transition and advisory services are provided below.</w:t>
      </w:r>
    </w:p>
    <w:p>
      <w:pPr>
        <w:spacing w:after="0" w:line="311"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 discussed above under “Employment Agreements and Other Arrangements”, the Company entered into a separation agreement with Mr. Servodidio in March 2019 in connection with his resignation with the Company, effective June 14, 2019. The actual severance benefits that Mr. Servodidio will be entitled to receive pursuant to his separation agreement are described below.</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2019, the Company appointed a permanent CFO. Accordingly, at the same time, Mr. Smith stepped down from the Interim CFO role, as further discussed under “Employment Agreements and Other Arrangements,” and will be providing transition and advisory services for an additional six months. During this period Mr. Smith will continue to receive his current base salary. At the end of the period, Mr. Smith will receive a payment of $ 912,500 so long as he does not voluntarily resign and is not terminated for cause prior to the time the payment is due to be made. In 2019, Mr. Smith will also be paid a $400,000 time-based cash incentive that was granted in 2018 in lieu of an equity award, as discussed in the CD&amp;A under “2018 Long-Term Incentive Awards.”</w:t>
      </w:r>
    </w:p>
    <w:p>
      <w:pPr>
        <w:spacing w:after="0" w:line="19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2019, the Company announced the resignation of Mr. Servodidio effective June 14, 2019. In connection with Mr. Servodidio’s resignation, as further discussed under “Employment Agreements and Other Arrangements,” Mr. Servodidio will receive a lump-sum cash payment of $2.5 million and vesting of 22,893 RSUs, and will remain eligible to vest in 29,792 PSUs, at target, based on actual achievement of the applicable performance goals. For two years following resignation, Mr. Servodidio will also be provided with participation in the Company’s executive car programs and financial planning expense reimbursements. Mr. Servodidio will also be entitled to post-assignment repatriation, tax equalization and tax return preparation in accordance with the Company’s policies.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2018 Director Compensation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are compensated for their service on the Board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Compensation</w:t>
      </w:r>
    </w:p>
    <w:p>
      <w:pPr>
        <w:spacing w:after="0" w:line="2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2018, our annual director retainer was initially $210,000 and was then increased to $225,000, effective October 2018. To reflect their additional responsibilities, the Chairman of the Board and the chairs and members of the Audit, Compensation, Corporate Governance and Executive Committees received additional annual retainers. The current rates of these retainers are set forth below and reflect increases that were approved effective October 2018. The increases were comprised of: (i) a $3,000 increase to the Corporate Governance Chair retainer; (ii) a $ 2,500 increase to the member retainer for the Audit and Compensation Committees; and (iii) a $1,000 increase to the member retainer for the Corporate Governance and Executive Committees.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the 2018 Annual Meeting, the Company’s Board leadership structure consisted of an Executive Chairman and a Lead Independent Director. For 2018, the Executive Chairman’s compensation consisted of base salary at an annual rate of $800,000, and our Lead Independent Director received a retainer at an annual rate of $30,000. Effective as of May 2018, our Board leadership structure includes an independent Chairman of the Board as further discussed under “Corporate Governance—Board Leadership Structure.” Accordingly, a Chairman retainer was approved in place of the Lead Independent Director retainer.</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changes in non-employee director compensation for 2018 were determined following a review conducted by the Company of a pay analysis with input from Pay Governance, which was discussed and reviewed by the Corporate Governance Committee and approved by the Board based on the Corporate Governance Committee’s recommendation.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4820" w:type="dxa"/>
            <w:vAlign w:val="bottom"/>
          </w:tcPr>
          <w:p>
            <w:pPr>
              <w:jc w:val="right"/>
              <w:ind w:right="454"/>
              <w:spacing w:after="0"/>
              <w:rPr>
                <w:sz w:val="20"/>
                <w:szCs w:val="20"/>
                <w:color w:val="auto"/>
              </w:rPr>
            </w:pPr>
            <w:r>
              <w:rPr>
                <w:rFonts w:ascii="Arial" w:cs="Arial" w:eastAsia="Arial" w:hAnsi="Arial"/>
                <w:sz w:val="14"/>
                <w:szCs w:val="14"/>
                <w:b w:val="1"/>
                <w:bCs w:val="1"/>
                <w:color w:val="auto"/>
              </w:rPr>
              <w:t>Annual Retainers</w:t>
            </w:r>
          </w:p>
        </w:tc>
      </w:tr>
      <w:tr>
        <w:trPr>
          <w:trHeight w:val="182"/>
        </w:trPr>
        <w:tc>
          <w:tcPr>
            <w:tcW w:w="660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w:t>
            </w:r>
          </w:p>
        </w:tc>
      </w:tr>
      <w:tr>
        <w:trPr>
          <w:trHeight w:val="203"/>
        </w:trPr>
        <w:tc>
          <w:tcPr>
            <w:tcW w:w="660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Chairman of the Board</w:t>
            </w:r>
          </w:p>
        </w:tc>
        <w:tc>
          <w:tcPr>
            <w:tcW w:w="4820" w:type="dxa"/>
            <w:vAlign w:val="bottom"/>
            <w:tcBorders>
              <w:bottom w:val="single" w:sz="8" w:color="auto"/>
            </w:tcBorders>
            <w:shd w:val="clear" w:color="auto" w:fill="CCCCCC"/>
          </w:tcPr>
          <w:p>
            <w:pPr>
              <w:jc w:val="right"/>
              <w:ind w:right="714"/>
              <w:spacing w:after="0" w:line="202" w:lineRule="exact"/>
              <w:rPr>
                <w:sz w:val="20"/>
                <w:szCs w:val="20"/>
                <w:color w:val="auto"/>
              </w:rPr>
            </w:pPr>
            <w:r>
              <w:rPr>
                <w:rFonts w:ascii="Arial" w:cs="Arial" w:eastAsia="Arial" w:hAnsi="Arial"/>
                <w:sz w:val="18"/>
                <w:szCs w:val="18"/>
                <w:color w:val="auto"/>
              </w:rPr>
              <w:t>125,000</w:t>
            </w:r>
          </w:p>
        </w:tc>
      </w:tr>
      <w:tr>
        <w:trPr>
          <w:trHeight w:val="196"/>
        </w:trPr>
        <w:tc>
          <w:tcPr>
            <w:tcW w:w="66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Audit Committee Chair</w:t>
            </w:r>
          </w:p>
        </w:tc>
        <w:tc>
          <w:tcPr>
            <w:tcW w:w="4820" w:type="dxa"/>
            <w:vAlign w:val="bottom"/>
            <w:tcBorders>
              <w:bottom w:val="single" w:sz="8" w:color="auto"/>
            </w:tcBorders>
          </w:tcPr>
          <w:p>
            <w:pPr>
              <w:jc w:val="right"/>
              <w:ind w:right="714"/>
              <w:spacing w:after="0" w:line="196" w:lineRule="exact"/>
              <w:rPr>
                <w:sz w:val="20"/>
                <w:szCs w:val="20"/>
                <w:color w:val="auto"/>
              </w:rPr>
            </w:pPr>
            <w:r>
              <w:rPr>
                <w:rFonts w:ascii="Arial" w:cs="Arial" w:eastAsia="Arial" w:hAnsi="Arial"/>
                <w:sz w:val="18"/>
                <w:szCs w:val="18"/>
                <w:color w:val="auto"/>
              </w:rPr>
              <w:t>25,000</w:t>
            </w:r>
          </w:p>
        </w:tc>
      </w:tr>
      <w:tr>
        <w:trPr>
          <w:trHeight w:val="196"/>
        </w:trPr>
        <w:tc>
          <w:tcPr>
            <w:tcW w:w="660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Audit Committee Member</w:t>
            </w:r>
          </w:p>
        </w:tc>
        <w:tc>
          <w:tcPr>
            <w:tcW w:w="4820" w:type="dxa"/>
            <w:vAlign w:val="bottom"/>
            <w:tcBorders>
              <w:bottom w:val="single" w:sz="8" w:color="auto"/>
            </w:tcBorders>
            <w:shd w:val="clear" w:color="auto" w:fill="CCCCCC"/>
          </w:tcPr>
          <w:p>
            <w:pPr>
              <w:jc w:val="right"/>
              <w:ind w:right="714"/>
              <w:spacing w:after="0" w:line="196" w:lineRule="exact"/>
              <w:rPr>
                <w:sz w:val="20"/>
                <w:szCs w:val="20"/>
                <w:color w:val="auto"/>
              </w:rPr>
            </w:pPr>
            <w:r>
              <w:rPr>
                <w:rFonts w:ascii="Arial" w:cs="Arial" w:eastAsia="Arial" w:hAnsi="Arial"/>
                <w:sz w:val="18"/>
                <w:szCs w:val="18"/>
                <w:color w:val="auto"/>
              </w:rPr>
              <w:t>12,500</w:t>
            </w:r>
          </w:p>
        </w:tc>
      </w:tr>
      <w:tr>
        <w:trPr>
          <w:trHeight w:val="196"/>
        </w:trPr>
        <w:tc>
          <w:tcPr>
            <w:tcW w:w="66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Compensation Committee Chair</w:t>
            </w:r>
          </w:p>
        </w:tc>
        <w:tc>
          <w:tcPr>
            <w:tcW w:w="4820" w:type="dxa"/>
            <w:vAlign w:val="bottom"/>
            <w:tcBorders>
              <w:bottom w:val="single" w:sz="8" w:color="auto"/>
            </w:tcBorders>
          </w:tcPr>
          <w:p>
            <w:pPr>
              <w:jc w:val="right"/>
              <w:ind w:right="714"/>
              <w:spacing w:after="0" w:line="196" w:lineRule="exact"/>
              <w:rPr>
                <w:sz w:val="20"/>
                <w:szCs w:val="20"/>
                <w:color w:val="auto"/>
              </w:rPr>
            </w:pPr>
            <w:r>
              <w:rPr>
                <w:rFonts w:ascii="Arial" w:cs="Arial" w:eastAsia="Arial" w:hAnsi="Arial"/>
                <w:sz w:val="18"/>
                <w:szCs w:val="18"/>
                <w:color w:val="auto"/>
              </w:rPr>
              <w:t>25,000</w:t>
            </w:r>
          </w:p>
        </w:tc>
      </w:tr>
      <w:tr>
        <w:trPr>
          <w:trHeight w:val="196"/>
        </w:trPr>
        <w:tc>
          <w:tcPr>
            <w:tcW w:w="660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Compensation Committee Member</w:t>
            </w:r>
          </w:p>
        </w:tc>
        <w:tc>
          <w:tcPr>
            <w:tcW w:w="4820" w:type="dxa"/>
            <w:vAlign w:val="bottom"/>
            <w:tcBorders>
              <w:bottom w:val="single" w:sz="8" w:color="auto"/>
            </w:tcBorders>
            <w:shd w:val="clear" w:color="auto" w:fill="CCCCCC"/>
          </w:tcPr>
          <w:p>
            <w:pPr>
              <w:jc w:val="right"/>
              <w:ind w:right="714"/>
              <w:spacing w:after="0" w:line="196" w:lineRule="exact"/>
              <w:rPr>
                <w:sz w:val="20"/>
                <w:szCs w:val="20"/>
                <w:color w:val="auto"/>
              </w:rPr>
            </w:pPr>
            <w:r>
              <w:rPr>
                <w:rFonts w:ascii="Arial" w:cs="Arial" w:eastAsia="Arial" w:hAnsi="Arial"/>
                <w:sz w:val="18"/>
                <w:szCs w:val="18"/>
                <w:color w:val="auto"/>
              </w:rPr>
              <w:t>12,500</w:t>
            </w:r>
          </w:p>
        </w:tc>
      </w:tr>
      <w:tr>
        <w:trPr>
          <w:trHeight w:val="196"/>
        </w:trPr>
        <w:tc>
          <w:tcPr>
            <w:tcW w:w="66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Corporate Governance Committee Chair</w:t>
            </w:r>
          </w:p>
        </w:tc>
        <w:tc>
          <w:tcPr>
            <w:tcW w:w="4820" w:type="dxa"/>
            <w:vAlign w:val="bottom"/>
            <w:tcBorders>
              <w:bottom w:val="single" w:sz="8" w:color="auto"/>
            </w:tcBorders>
          </w:tcPr>
          <w:p>
            <w:pPr>
              <w:jc w:val="right"/>
              <w:ind w:right="714"/>
              <w:spacing w:after="0" w:line="196" w:lineRule="exact"/>
              <w:rPr>
                <w:sz w:val="20"/>
                <w:szCs w:val="20"/>
                <w:color w:val="auto"/>
              </w:rPr>
            </w:pPr>
            <w:r>
              <w:rPr>
                <w:rFonts w:ascii="Arial" w:cs="Arial" w:eastAsia="Arial" w:hAnsi="Arial"/>
                <w:sz w:val="18"/>
                <w:szCs w:val="18"/>
                <w:color w:val="auto"/>
              </w:rPr>
              <w:t>18,000</w:t>
            </w:r>
          </w:p>
        </w:tc>
      </w:tr>
      <w:tr>
        <w:trPr>
          <w:trHeight w:val="196"/>
        </w:trPr>
        <w:tc>
          <w:tcPr>
            <w:tcW w:w="660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Corporate Governance Committee Member</w:t>
            </w:r>
          </w:p>
        </w:tc>
        <w:tc>
          <w:tcPr>
            <w:tcW w:w="4820" w:type="dxa"/>
            <w:vAlign w:val="bottom"/>
            <w:tcBorders>
              <w:bottom w:val="single" w:sz="8" w:color="auto"/>
            </w:tcBorders>
            <w:shd w:val="clear" w:color="auto" w:fill="CCCCCC"/>
          </w:tcPr>
          <w:p>
            <w:pPr>
              <w:jc w:val="right"/>
              <w:ind w:right="714"/>
              <w:spacing w:after="0" w:line="196" w:lineRule="exact"/>
              <w:rPr>
                <w:sz w:val="20"/>
                <w:szCs w:val="20"/>
                <w:color w:val="auto"/>
              </w:rPr>
            </w:pPr>
            <w:r>
              <w:rPr>
                <w:rFonts w:ascii="Arial" w:cs="Arial" w:eastAsia="Arial" w:hAnsi="Arial"/>
                <w:sz w:val="18"/>
                <w:szCs w:val="18"/>
                <w:color w:val="auto"/>
              </w:rPr>
              <w:t>9,000</w:t>
            </w:r>
          </w:p>
        </w:tc>
      </w:tr>
      <w:tr>
        <w:trPr>
          <w:trHeight w:val="203"/>
        </w:trPr>
        <w:tc>
          <w:tcPr>
            <w:tcW w:w="66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Executive Committee Member</w:t>
            </w:r>
          </w:p>
        </w:tc>
        <w:tc>
          <w:tcPr>
            <w:tcW w:w="4820" w:type="dxa"/>
            <w:vAlign w:val="bottom"/>
            <w:tcBorders>
              <w:bottom w:val="single" w:sz="8" w:color="auto"/>
            </w:tcBorders>
          </w:tcPr>
          <w:p>
            <w:pPr>
              <w:jc w:val="right"/>
              <w:ind w:right="714"/>
              <w:spacing w:after="0" w:line="196" w:lineRule="exact"/>
              <w:rPr>
                <w:sz w:val="20"/>
                <w:szCs w:val="20"/>
                <w:color w:val="auto"/>
              </w:rPr>
            </w:pPr>
            <w:r>
              <w:rPr>
                <w:rFonts w:ascii="Arial" w:cs="Arial" w:eastAsia="Arial" w:hAnsi="Arial"/>
                <w:sz w:val="18"/>
                <w:szCs w:val="18"/>
                <w:color w:val="auto"/>
              </w:rPr>
              <w:t>9,000</w:t>
            </w:r>
          </w:p>
        </w:tc>
      </w:tr>
    </w:tbl>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2018, director compensation was paid quarterly, 50% in cash and 50% in equity, subject to a cap of 7,500 shares per quarter. Under the Company’s deferred compensation plan applicable to non-employee directors (the “NED Plan”), a director may elect to defer any or all of the cash portion of his or her compensation and direct such deferred amounts among a pre-selected group of investment options similar to those available through the deferred compensation plan available to the NEOs. Directors may also elect to receive up to 100% of their compensation in the form of equity. Starting in 2019, consistent with the changes proposed to the Amended and Restated Avis Budget Group, Inc. Equity and Incentive Plan described under “Proposal No. 4”, the equity portion of director compensation will be granted in the form of an annual RSU award with vesting scheduled to occur on the first anniversary of the date of grant.</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NED Plan, the equity portion of director compensation is automatically deferred into the form of deferred stock units. Such units convert on a one-on-one basis into the Company’s Common Stock upon termination of service, a change in control, or at a different time based on a director’s election. In lieu of automatic deferral, directors may elect to receive the equity portion of their compensation in the form of the Company’s Common Stock.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Directors do not receive any meeting fees or any benefits such as life or medical insurance. Any member of the Board who is also an officer or employee of our Company does not receive compensation for serving as a director, other than reimbursement of travel-related expenses for meetings held outside the Company’s headquarters. Directors are eligible for limited matching of charitable contributions through the Avis Budget Group Charitable Foundation. Directors are also eligible to purchase vehicles through the auto lease program we make available to our employees; however, such purchases do not result in an associated incremental cost to the Company.</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Guidelines</w:t>
      </w:r>
    </w:p>
    <w:p>
      <w:pPr>
        <w:spacing w:after="0" w:line="2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stock owned indirectly through the NED Plan, and the “in-the-money” portion of vested stock options, if any. As of December 31, 2018, all current directors with more than three years of Board service who receive compensation for Board service had exceeded such minimum ownership threshold. Mr. Choi and Mr. Pahwa have each elected not to receive compensation for Board service. In addition, SRS’s policies do not allow either Mr. Choi or Mr. Pahwa to own any shares of the Company’s Common Stock, and they are therefore not subject to the Company’s stock ownership guidelines.</w:t>
      </w:r>
    </w:p>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Director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Value and</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300" w:type="dxa"/>
            <w:vAlign w:val="bottom"/>
          </w:tcPr>
          <w:p>
            <w:pPr>
              <w:jc w:val="center"/>
              <w:ind w:left="754"/>
              <w:spacing w:after="0"/>
              <w:rPr>
                <w:sz w:val="20"/>
                <w:szCs w:val="20"/>
                <w:color w:val="auto"/>
              </w:rPr>
            </w:pPr>
            <w:r>
              <w:rPr>
                <w:rFonts w:ascii="Arial" w:cs="Arial" w:eastAsia="Arial" w:hAnsi="Arial"/>
                <w:sz w:val="14"/>
                <w:szCs w:val="14"/>
                <w:b w:val="1"/>
                <w:bCs w:val="1"/>
                <w:color w:val="auto"/>
              </w:rPr>
              <w:t>Fees Earned</w:t>
            </w:r>
          </w:p>
        </w:tc>
        <w:tc>
          <w:tcPr>
            <w:tcW w:w="15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300" w:type="dxa"/>
            <w:vAlign w:val="bottom"/>
          </w:tcPr>
          <w:p>
            <w:pPr>
              <w:jc w:val="center"/>
              <w:ind w:left="714"/>
              <w:spacing w:after="0"/>
              <w:rPr>
                <w:sz w:val="20"/>
                <w:szCs w:val="20"/>
                <w:color w:val="auto"/>
              </w:rPr>
            </w:pPr>
            <w:r>
              <w:rPr>
                <w:rFonts w:ascii="Arial" w:cs="Arial" w:eastAsia="Arial" w:hAnsi="Arial"/>
                <w:sz w:val="14"/>
                <w:szCs w:val="14"/>
                <w:b w:val="1"/>
                <w:bCs w:val="1"/>
                <w:color w:val="auto"/>
                <w:w w:val="99"/>
              </w:rPr>
              <w:t>or</w:t>
            </w:r>
          </w:p>
        </w:tc>
        <w:tc>
          <w:tcPr>
            <w:tcW w:w="15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060" w:type="dxa"/>
            <w:vAlign w:val="bottom"/>
          </w:tcPr>
          <w:p>
            <w:pPr>
              <w:spacing w:after="0"/>
              <w:rPr>
                <w:sz w:val="14"/>
                <w:szCs w:val="14"/>
                <w:color w:val="auto"/>
              </w:rPr>
            </w:pPr>
          </w:p>
        </w:tc>
      </w:tr>
      <w:tr>
        <w:trPr>
          <w:trHeight w:val="162"/>
        </w:trPr>
        <w:tc>
          <w:tcPr>
            <w:tcW w:w="3080" w:type="dxa"/>
            <w:vAlign w:val="bottom"/>
          </w:tcPr>
          <w:p>
            <w:pPr>
              <w:spacing w:after="0"/>
              <w:rPr>
                <w:sz w:val="14"/>
                <w:szCs w:val="14"/>
                <w:color w:val="auto"/>
              </w:rPr>
            </w:pPr>
          </w:p>
        </w:tc>
        <w:tc>
          <w:tcPr>
            <w:tcW w:w="2300" w:type="dxa"/>
            <w:vAlign w:val="bottom"/>
          </w:tcPr>
          <w:p>
            <w:pPr>
              <w:jc w:val="center"/>
              <w:ind w:left="754"/>
              <w:spacing w:after="0"/>
              <w:rPr>
                <w:sz w:val="20"/>
                <w:szCs w:val="20"/>
                <w:color w:val="auto"/>
              </w:rPr>
            </w:pPr>
            <w:r>
              <w:rPr>
                <w:rFonts w:ascii="Arial" w:cs="Arial" w:eastAsia="Arial" w:hAnsi="Arial"/>
                <w:sz w:val="14"/>
                <w:szCs w:val="14"/>
                <w:b w:val="1"/>
                <w:bCs w:val="1"/>
                <w:color w:val="auto"/>
              </w:rPr>
              <w:t>Paid In Cash</w:t>
            </w: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rPr>
              <w:t>Stock Awards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182"/>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of Director</w:t>
            </w:r>
          </w:p>
        </w:tc>
        <w:tc>
          <w:tcPr>
            <w:tcW w:w="2300" w:type="dxa"/>
            <w:vAlign w:val="bottom"/>
            <w:tcBorders>
              <w:bottom w:val="single" w:sz="8" w:color="auto"/>
            </w:tcBorders>
          </w:tcPr>
          <w:p>
            <w:pPr>
              <w:jc w:val="center"/>
              <w:ind w:left="754"/>
              <w:spacing w:after="0"/>
              <w:rPr>
                <w:sz w:val="20"/>
                <w:szCs w:val="20"/>
                <w:color w:val="auto"/>
              </w:rPr>
            </w:pPr>
            <w:r>
              <w:rPr>
                <w:rFonts w:ascii="Arial" w:cs="Arial" w:eastAsia="Arial" w:hAnsi="Arial"/>
                <w:sz w:val="14"/>
                <w:szCs w:val="14"/>
                <w:b w:val="1"/>
                <w:bCs w:val="1"/>
                <w:color w:val="auto"/>
                <w:w w:val="99"/>
              </w:rPr>
              <w:t>($)(a)</w:t>
            </w:r>
          </w:p>
        </w:tc>
        <w:tc>
          <w:tcPr>
            <w:tcW w:w="15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($)(b)</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w:t>
            </w: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03"/>
        </w:trPr>
        <w:tc>
          <w:tcPr>
            <w:tcW w:w="308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Choi, Brian J. (e)</w:t>
            </w:r>
          </w:p>
        </w:tc>
        <w:tc>
          <w:tcPr>
            <w:tcW w:w="2300" w:type="dxa"/>
            <w:vAlign w:val="bottom"/>
            <w:tcBorders>
              <w:bottom w:val="single" w:sz="8" w:color="auto"/>
            </w:tcBorders>
            <w:shd w:val="clear" w:color="auto" w:fill="CCCCCC"/>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CCCC"/>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CCCC"/>
          </w:tcPr>
          <w:p>
            <w:pPr>
              <w:jc w:val="center"/>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CCC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3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Choksi, Mary C.</w:t>
            </w:r>
          </w:p>
        </w:tc>
        <w:tc>
          <w:tcPr>
            <w:tcW w:w="230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117,893</w:t>
            </w:r>
          </w:p>
        </w:tc>
        <w:tc>
          <w:tcPr>
            <w:tcW w:w="156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117,912</w:t>
            </w:r>
          </w:p>
        </w:tc>
        <w:tc>
          <w:tcPr>
            <w:tcW w:w="1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240,805</w:t>
            </w:r>
          </w:p>
        </w:tc>
      </w:tr>
      <w:tr>
        <w:trPr>
          <w:trHeight w:val="196"/>
        </w:trPr>
        <w:tc>
          <w:tcPr>
            <w:tcW w:w="308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Coleman, Leonard S.</w:t>
            </w:r>
          </w:p>
        </w:tc>
        <w:tc>
          <w:tcPr>
            <w:tcW w:w="2300" w:type="dxa"/>
            <w:vAlign w:val="bottom"/>
            <w:tcBorders>
              <w:bottom w:val="single" w:sz="8" w:color="auto"/>
            </w:tcBorders>
            <w:shd w:val="clear" w:color="auto" w:fill="CCCCCC"/>
          </w:tcPr>
          <w:p>
            <w:pPr>
              <w:jc w:val="right"/>
              <w:ind w:right="354"/>
              <w:spacing w:after="0" w:line="196" w:lineRule="exact"/>
              <w:rPr>
                <w:sz w:val="20"/>
                <w:szCs w:val="20"/>
                <w:color w:val="auto"/>
              </w:rPr>
            </w:pPr>
            <w:r>
              <w:rPr>
                <w:rFonts w:ascii="Arial" w:cs="Arial" w:eastAsia="Arial" w:hAnsi="Arial"/>
                <w:sz w:val="18"/>
                <w:szCs w:val="18"/>
                <w:color w:val="auto"/>
              </w:rPr>
              <w:t>163,881</w:t>
            </w:r>
          </w:p>
        </w:tc>
        <w:tc>
          <w:tcPr>
            <w:tcW w:w="1560" w:type="dxa"/>
            <w:vAlign w:val="bottom"/>
            <w:tcBorders>
              <w:bottom w:val="single" w:sz="8" w:color="auto"/>
            </w:tcBorders>
            <w:shd w:val="clear" w:color="auto" w:fill="CCCCCC"/>
          </w:tcPr>
          <w:p>
            <w:pPr>
              <w:jc w:val="right"/>
              <w:ind w:right="392"/>
              <w:spacing w:after="0" w:line="196" w:lineRule="exact"/>
              <w:rPr>
                <w:sz w:val="20"/>
                <w:szCs w:val="20"/>
                <w:color w:val="auto"/>
              </w:rPr>
            </w:pPr>
            <w:r>
              <w:rPr>
                <w:rFonts w:ascii="Arial" w:cs="Arial" w:eastAsia="Arial" w:hAnsi="Arial"/>
                <w:sz w:val="18"/>
                <w:szCs w:val="18"/>
                <w:color w:val="auto"/>
              </w:rPr>
              <w:t>163,879</w:t>
            </w:r>
          </w:p>
        </w:tc>
        <w:tc>
          <w:tcPr>
            <w:tcW w:w="18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shd w:val="clear" w:color="auto" w:fill="CCCCCC"/>
          </w:tcPr>
          <w:p>
            <w:pPr>
              <w:jc w:val="right"/>
              <w:ind w:right="12"/>
              <w:spacing w:after="0" w:line="196" w:lineRule="exact"/>
              <w:rPr>
                <w:sz w:val="20"/>
                <w:szCs w:val="20"/>
                <w:color w:val="auto"/>
              </w:rPr>
            </w:pPr>
            <w:r>
              <w:rPr>
                <w:rFonts w:ascii="Arial" w:cs="Arial" w:eastAsia="Arial" w:hAnsi="Arial"/>
                <w:sz w:val="18"/>
                <w:szCs w:val="18"/>
                <w:color w:val="auto"/>
              </w:rPr>
              <w:t>332,760</w:t>
            </w:r>
          </w:p>
        </w:tc>
      </w:tr>
      <w:tr>
        <w:trPr>
          <w:trHeight w:val="196"/>
        </w:trPr>
        <w:tc>
          <w:tcPr>
            <w:tcW w:w="3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Fox, Jeffrey H.</w:t>
            </w:r>
          </w:p>
        </w:tc>
        <w:tc>
          <w:tcPr>
            <w:tcW w:w="230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112,188</w:t>
            </w:r>
          </w:p>
        </w:tc>
        <w:tc>
          <w:tcPr>
            <w:tcW w:w="156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112,169</w:t>
            </w:r>
          </w:p>
        </w:tc>
        <w:tc>
          <w:tcPr>
            <w:tcW w:w="1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229,357</w:t>
            </w:r>
          </w:p>
        </w:tc>
      </w:tr>
      <w:tr>
        <w:trPr>
          <w:trHeight w:val="196"/>
        </w:trPr>
        <w:tc>
          <w:tcPr>
            <w:tcW w:w="308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Hardy, John D.(f)</w:t>
            </w:r>
          </w:p>
        </w:tc>
        <w:tc>
          <w:tcPr>
            <w:tcW w:w="2300" w:type="dxa"/>
            <w:vAlign w:val="bottom"/>
            <w:tcBorders>
              <w:bottom w:val="single" w:sz="8" w:color="auto"/>
            </w:tcBorders>
            <w:shd w:val="clear" w:color="auto" w:fill="CCCCCC"/>
          </w:tcPr>
          <w:p>
            <w:pPr>
              <w:jc w:val="right"/>
              <w:ind w:right="354"/>
              <w:spacing w:after="0" w:line="196" w:lineRule="exact"/>
              <w:rPr>
                <w:sz w:val="20"/>
                <w:szCs w:val="20"/>
                <w:color w:val="auto"/>
              </w:rPr>
            </w:pPr>
            <w:r>
              <w:rPr>
                <w:rFonts w:ascii="Arial" w:cs="Arial" w:eastAsia="Arial" w:hAnsi="Arial"/>
                <w:sz w:val="18"/>
                <w:szCs w:val="18"/>
                <w:color w:val="auto"/>
              </w:rPr>
              <w:t>46,431</w:t>
            </w:r>
          </w:p>
        </w:tc>
        <w:tc>
          <w:tcPr>
            <w:tcW w:w="1560" w:type="dxa"/>
            <w:vAlign w:val="bottom"/>
            <w:tcBorders>
              <w:bottom w:val="single" w:sz="8" w:color="auto"/>
            </w:tcBorders>
            <w:shd w:val="clear" w:color="auto" w:fill="CCCCCC"/>
          </w:tcPr>
          <w:p>
            <w:pPr>
              <w:jc w:val="right"/>
              <w:ind w:right="392"/>
              <w:spacing w:after="0" w:line="196" w:lineRule="exact"/>
              <w:rPr>
                <w:sz w:val="20"/>
                <w:szCs w:val="20"/>
                <w:color w:val="auto"/>
              </w:rPr>
            </w:pPr>
            <w:r>
              <w:rPr>
                <w:rFonts w:ascii="Arial" w:cs="Arial" w:eastAsia="Arial" w:hAnsi="Arial"/>
                <w:sz w:val="18"/>
                <w:szCs w:val="18"/>
                <w:color w:val="auto"/>
              </w:rPr>
              <w:t>46,431</w:t>
            </w:r>
          </w:p>
        </w:tc>
        <w:tc>
          <w:tcPr>
            <w:tcW w:w="18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shd w:val="clear" w:color="auto" w:fill="CCCCCC"/>
          </w:tcPr>
          <w:p>
            <w:pPr>
              <w:jc w:val="right"/>
              <w:ind w:right="12"/>
              <w:spacing w:after="0" w:line="196" w:lineRule="exact"/>
              <w:rPr>
                <w:sz w:val="20"/>
                <w:szCs w:val="20"/>
                <w:color w:val="auto"/>
              </w:rPr>
            </w:pPr>
            <w:r>
              <w:rPr>
                <w:rFonts w:ascii="Arial" w:cs="Arial" w:eastAsia="Arial" w:hAnsi="Arial"/>
                <w:sz w:val="18"/>
                <w:szCs w:val="18"/>
                <w:color w:val="auto"/>
              </w:rPr>
              <w:t>97,862</w:t>
            </w:r>
          </w:p>
        </w:tc>
      </w:tr>
      <w:tr>
        <w:trPr>
          <w:trHeight w:val="196"/>
        </w:trPr>
        <w:tc>
          <w:tcPr>
            <w:tcW w:w="3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Krominga, Lynn</w:t>
            </w:r>
          </w:p>
        </w:tc>
        <w:tc>
          <w:tcPr>
            <w:tcW w:w="230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119,075</w:t>
            </w:r>
          </w:p>
        </w:tc>
        <w:tc>
          <w:tcPr>
            <w:tcW w:w="156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119,090</w:t>
            </w:r>
          </w:p>
        </w:tc>
        <w:tc>
          <w:tcPr>
            <w:tcW w:w="1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243,165</w:t>
            </w:r>
          </w:p>
        </w:tc>
      </w:tr>
      <w:tr>
        <w:trPr>
          <w:trHeight w:val="196"/>
        </w:trPr>
        <w:tc>
          <w:tcPr>
            <w:tcW w:w="308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Lurie, Glenn (g)</w:t>
            </w:r>
          </w:p>
        </w:tc>
        <w:tc>
          <w:tcPr>
            <w:tcW w:w="2300" w:type="dxa"/>
            <w:vAlign w:val="bottom"/>
            <w:tcBorders>
              <w:bottom w:val="single" w:sz="8" w:color="auto"/>
            </w:tcBorders>
            <w:shd w:val="clear" w:color="auto" w:fill="CCCCCC"/>
          </w:tcPr>
          <w:p>
            <w:pPr>
              <w:jc w:val="right"/>
              <w:ind w:right="354"/>
              <w:spacing w:after="0" w:line="196" w:lineRule="exact"/>
              <w:rPr>
                <w:sz w:val="20"/>
                <w:szCs w:val="20"/>
                <w:color w:val="auto"/>
              </w:rPr>
            </w:pPr>
            <w:r>
              <w:rPr>
                <w:rFonts w:ascii="Arial" w:cs="Arial" w:eastAsia="Arial" w:hAnsi="Arial"/>
                <w:sz w:val="18"/>
                <w:szCs w:val="18"/>
                <w:color w:val="auto"/>
              </w:rPr>
              <w:t>68,720</w:t>
            </w:r>
          </w:p>
        </w:tc>
        <w:tc>
          <w:tcPr>
            <w:tcW w:w="1560" w:type="dxa"/>
            <w:vAlign w:val="bottom"/>
            <w:tcBorders>
              <w:bottom w:val="single" w:sz="8" w:color="auto"/>
            </w:tcBorders>
            <w:shd w:val="clear" w:color="auto" w:fill="CCCCCC"/>
          </w:tcPr>
          <w:p>
            <w:pPr>
              <w:jc w:val="right"/>
              <w:ind w:right="392"/>
              <w:spacing w:after="0" w:line="196" w:lineRule="exact"/>
              <w:rPr>
                <w:sz w:val="20"/>
                <w:szCs w:val="20"/>
                <w:color w:val="auto"/>
              </w:rPr>
            </w:pPr>
            <w:r>
              <w:rPr>
                <w:rFonts w:ascii="Arial" w:cs="Arial" w:eastAsia="Arial" w:hAnsi="Arial"/>
                <w:sz w:val="18"/>
                <w:szCs w:val="18"/>
                <w:color w:val="auto"/>
              </w:rPr>
              <w:t>68,704</w:t>
            </w:r>
          </w:p>
        </w:tc>
        <w:tc>
          <w:tcPr>
            <w:tcW w:w="18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shd w:val="clear" w:color="auto" w:fill="CCCCCC"/>
          </w:tcPr>
          <w:p>
            <w:pPr>
              <w:jc w:val="right"/>
              <w:ind w:right="12"/>
              <w:spacing w:after="0" w:line="196" w:lineRule="exact"/>
              <w:rPr>
                <w:sz w:val="20"/>
                <w:szCs w:val="20"/>
                <w:color w:val="auto"/>
              </w:rPr>
            </w:pPr>
            <w:r>
              <w:rPr>
                <w:rFonts w:ascii="Arial" w:cs="Arial" w:eastAsia="Arial" w:hAnsi="Arial"/>
                <w:sz w:val="18"/>
                <w:szCs w:val="18"/>
                <w:color w:val="auto"/>
              </w:rPr>
              <w:t>142,424</w:t>
            </w:r>
          </w:p>
        </w:tc>
      </w:tr>
      <w:tr>
        <w:trPr>
          <w:trHeight w:val="196"/>
        </w:trPr>
        <w:tc>
          <w:tcPr>
            <w:tcW w:w="3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Mestre, Eduardo G.</w:t>
            </w:r>
          </w:p>
        </w:tc>
        <w:tc>
          <w:tcPr>
            <w:tcW w:w="230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221,981</w:t>
            </w:r>
          </w:p>
        </w:tc>
        <w:tc>
          <w:tcPr>
            <w:tcW w:w="1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226,981</w:t>
            </w:r>
          </w:p>
        </w:tc>
      </w:tr>
      <w:tr>
        <w:trPr>
          <w:trHeight w:val="196"/>
        </w:trPr>
        <w:tc>
          <w:tcPr>
            <w:tcW w:w="308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Nelson, Ronald L.</w:t>
            </w:r>
          </w:p>
        </w:tc>
        <w:tc>
          <w:tcPr>
            <w:tcW w:w="2300" w:type="dxa"/>
            <w:vAlign w:val="bottom"/>
            <w:tcBorders>
              <w:bottom w:val="single" w:sz="8" w:color="auto"/>
            </w:tcBorders>
            <w:shd w:val="clear" w:color="auto" w:fill="CCCCCC"/>
          </w:tcPr>
          <w:p>
            <w:pPr>
              <w:jc w:val="right"/>
              <w:ind w:right="354"/>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CCCC"/>
          </w:tcPr>
          <w:p>
            <w:pPr>
              <w:jc w:val="right"/>
              <w:ind w:right="392"/>
              <w:spacing w:after="0" w:line="196"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196" w:lineRule="exact"/>
              <w:rPr>
                <w:sz w:val="20"/>
                <w:szCs w:val="20"/>
                <w:color w:val="auto"/>
              </w:rPr>
            </w:pPr>
            <w:r>
              <w:rPr>
                <w:rFonts w:ascii="Arial" w:cs="Arial" w:eastAsia="Arial" w:hAnsi="Arial"/>
                <w:sz w:val="18"/>
                <w:szCs w:val="18"/>
                <w:color w:val="auto"/>
              </w:rPr>
              <w:t>483,825</w:t>
            </w:r>
          </w:p>
        </w:tc>
        <w:tc>
          <w:tcPr>
            <w:tcW w:w="1060" w:type="dxa"/>
            <w:vAlign w:val="bottom"/>
            <w:tcBorders>
              <w:bottom w:val="single" w:sz="8" w:color="auto"/>
            </w:tcBorders>
            <w:shd w:val="clear" w:color="auto" w:fill="CCCCCC"/>
          </w:tcPr>
          <w:p>
            <w:pPr>
              <w:jc w:val="right"/>
              <w:ind w:right="12"/>
              <w:spacing w:after="0" w:line="196" w:lineRule="exact"/>
              <w:rPr>
                <w:sz w:val="20"/>
                <w:szCs w:val="20"/>
                <w:color w:val="auto"/>
              </w:rPr>
            </w:pPr>
            <w:r>
              <w:rPr>
                <w:rFonts w:ascii="Arial" w:cs="Arial" w:eastAsia="Arial" w:hAnsi="Arial"/>
                <w:sz w:val="18"/>
                <w:szCs w:val="18"/>
                <w:color w:val="auto"/>
              </w:rPr>
              <w:t>483,825</w:t>
            </w:r>
          </w:p>
        </w:tc>
      </w:tr>
      <w:tr>
        <w:trPr>
          <w:trHeight w:val="196"/>
        </w:trPr>
        <w:tc>
          <w:tcPr>
            <w:tcW w:w="3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Pahwa, Jagdeep (e)(g)</w:t>
            </w:r>
          </w:p>
        </w:tc>
        <w:tc>
          <w:tcPr>
            <w:tcW w:w="230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w:t>
            </w:r>
          </w:p>
        </w:tc>
      </w:tr>
      <w:tr>
        <w:trPr>
          <w:trHeight w:val="196"/>
        </w:trPr>
        <w:tc>
          <w:tcPr>
            <w:tcW w:w="308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Salerno, F. Robert (h)</w:t>
            </w:r>
          </w:p>
        </w:tc>
        <w:tc>
          <w:tcPr>
            <w:tcW w:w="2300" w:type="dxa"/>
            <w:vAlign w:val="bottom"/>
            <w:tcBorders>
              <w:bottom w:val="single" w:sz="8" w:color="auto"/>
            </w:tcBorders>
            <w:shd w:val="clear" w:color="auto" w:fill="CCCCCC"/>
          </w:tcPr>
          <w:p>
            <w:pPr>
              <w:jc w:val="right"/>
              <w:ind w:right="354"/>
              <w:spacing w:after="0" w:line="196" w:lineRule="exact"/>
              <w:rPr>
                <w:sz w:val="20"/>
                <w:szCs w:val="20"/>
                <w:color w:val="auto"/>
              </w:rPr>
            </w:pPr>
            <w:r>
              <w:rPr>
                <w:rFonts w:ascii="Arial" w:cs="Arial" w:eastAsia="Arial" w:hAnsi="Arial"/>
                <w:sz w:val="18"/>
                <w:szCs w:val="18"/>
                <w:color w:val="auto"/>
              </w:rPr>
              <w:t>116,224</w:t>
            </w:r>
          </w:p>
        </w:tc>
        <w:tc>
          <w:tcPr>
            <w:tcW w:w="1560" w:type="dxa"/>
            <w:vAlign w:val="bottom"/>
            <w:tcBorders>
              <w:bottom w:val="single" w:sz="8" w:color="auto"/>
            </w:tcBorders>
            <w:shd w:val="clear" w:color="auto" w:fill="CCCCCC"/>
          </w:tcPr>
          <w:p>
            <w:pPr>
              <w:jc w:val="right"/>
              <w:ind w:right="392"/>
              <w:spacing w:after="0" w:line="196" w:lineRule="exact"/>
              <w:rPr>
                <w:sz w:val="20"/>
                <w:szCs w:val="20"/>
                <w:color w:val="auto"/>
              </w:rPr>
            </w:pPr>
            <w:r>
              <w:rPr>
                <w:rFonts w:ascii="Arial" w:cs="Arial" w:eastAsia="Arial" w:hAnsi="Arial"/>
                <w:sz w:val="18"/>
                <w:szCs w:val="18"/>
                <w:color w:val="auto"/>
              </w:rPr>
              <w:t>116,192</w:t>
            </w:r>
          </w:p>
        </w:tc>
        <w:tc>
          <w:tcPr>
            <w:tcW w:w="18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shd w:val="clear" w:color="auto" w:fill="CCCCCC"/>
          </w:tcPr>
          <w:p>
            <w:pPr>
              <w:jc w:val="right"/>
              <w:ind w:right="12"/>
              <w:spacing w:after="0" w:line="196" w:lineRule="exact"/>
              <w:rPr>
                <w:sz w:val="20"/>
                <w:szCs w:val="20"/>
                <w:color w:val="auto"/>
              </w:rPr>
            </w:pPr>
            <w:r>
              <w:rPr>
                <w:rFonts w:ascii="Arial" w:cs="Arial" w:eastAsia="Arial" w:hAnsi="Arial"/>
                <w:sz w:val="18"/>
                <w:szCs w:val="18"/>
                <w:color w:val="auto"/>
              </w:rPr>
              <w:t>237,416</w:t>
            </w:r>
          </w:p>
        </w:tc>
      </w:tr>
      <w:tr>
        <w:trPr>
          <w:trHeight w:val="196"/>
        </w:trPr>
        <w:tc>
          <w:tcPr>
            <w:tcW w:w="3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Shammo, Francis J. (g)</w:t>
            </w:r>
          </w:p>
        </w:tc>
        <w:tc>
          <w:tcPr>
            <w:tcW w:w="230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58,355</w:t>
            </w:r>
          </w:p>
        </w:tc>
        <w:tc>
          <w:tcPr>
            <w:tcW w:w="156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87,497</w:t>
            </w:r>
          </w:p>
        </w:tc>
        <w:tc>
          <w:tcPr>
            <w:tcW w:w="1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150,852</w:t>
            </w:r>
          </w:p>
        </w:tc>
      </w:tr>
      <w:tr>
        <w:trPr>
          <w:trHeight w:val="196"/>
        </w:trPr>
        <w:tc>
          <w:tcPr>
            <w:tcW w:w="308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Sparks, Carl (g)</w:t>
            </w:r>
          </w:p>
        </w:tc>
        <w:tc>
          <w:tcPr>
            <w:tcW w:w="2300" w:type="dxa"/>
            <w:vAlign w:val="bottom"/>
            <w:tcBorders>
              <w:bottom w:val="single" w:sz="8" w:color="auto"/>
            </w:tcBorders>
            <w:shd w:val="clear" w:color="auto" w:fill="CCCCCC"/>
          </w:tcPr>
          <w:p>
            <w:pPr>
              <w:jc w:val="right"/>
              <w:ind w:right="354"/>
              <w:spacing w:after="0" w:line="196" w:lineRule="exact"/>
              <w:rPr>
                <w:sz w:val="20"/>
                <w:szCs w:val="20"/>
                <w:color w:val="auto"/>
              </w:rPr>
            </w:pPr>
            <w:r>
              <w:rPr>
                <w:rFonts w:ascii="Arial" w:cs="Arial" w:eastAsia="Arial" w:hAnsi="Arial"/>
                <w:sz w:val="18"/>
                <w:szCs w:val="18"/>
                <w:color w:val="auto"/>
              </w:rPr>
              <w:t>78,420</w:t>
            </w:r>
          </w:p>
        </w:tc>
        <w:tc>
          <w:tcPr>
            <w:tcW w:w="1560" w:type="dxa"/>
            <w:vAlign w:val="bottom"/>
            <w:tcBorders>
              <w:bottom w:val="single" w:sz="8" w:color="auto"/>
            </w:tcBorders>
            <w:shd w:val="clear" w:color="auto" w:fill="CCCCCC"/>
          </w:tcPr>
          <w:p>
            <w:pPr>
              <w:jc w:val="right"/>
              <w:ind w:right="392"/>
              <w:spacing w:after="0" w:line="196" w:lineRule="exact"/>
              <w:rPr>
                <w:sz w:val="20"/>
                <w:szCs w:val="20"/>
                <w:color w:val="auto"/>
              </w:rPr>
            </w:pPr>
            <w:r>
              <w:rPr>
                <w:rFonts w:ascii="Arial" w:cs="Arial" w:eastAsia="Arial" w:hAnsi="Arial"/>
                <w:sz w:val="18"/>
                <w:szCs w:val="18"/>
                <w:color w:val="auto"/>
              </w:rPr>
              <w:t>78,393</w:t>
            </w:r>
          </w:p>
        </w:tc>
        <w:tc>
          <w:tcPr>
            <w:tcW w:w="18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shd w:val="clear" w:color="auto" w:fill="CCCCCC"/>
          </w:tcPr>
          <w:p>
            <w:pPr>
              <w:jc w:val="right"/>
              <w:ind w:right="12"/>
              <w:spacing w:after="0" w:line="196" w:lineRule="exact"/>
              <w:rPr>
                <w:sz w:val="20"/>
                <w:szCs w:val="20"/>
                <w:color w:val="auto"/>
              </w:rPr>
            </w:pPr>
            <w:r>
              <w:rPr>
                <w:rFonts w:ascii="Arial" w:cs="Arial" w:eastAsia="Arial" w:hAnsi="Arial"/>
                <w:sz w:val="18"/>
                <w:szCs w:val="18"/>
                <w:color w:val="auto"/>
              </w:rPr>
              <w:t>161,813</w:t>
            </w:r>
          </w:p>
        </w:tc>
      </w:tr>
      <w:tr>
        <w:trPr>
          <w:trHeight w:val="196"/>
        </w:trPr>
        <w:tc>
          <w:tcPr>
            <w:tcW w:w="3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Sweeney, Stender E. (f)</w:t>
            </w:r>
          </w:p>
        </w:tc>
        <w:tc>
          <w:tcPr>
            <w:tcW w:w="2300" w:type="dxa"/>
            <w:vAlign w:val="bottom"/>
            <w:tcBorders>
              <w:bottom w:val="single" w:sz="8" w:color="auto"/>
            </w:tcBorders>
          </w:tcPr>
          <w:p>
            <w:pPr>
              <w:jc w:val="right"/>
              <w:ind w:right="354"/>
              <w:spacing w:after="0" w:line="196" w:lineRule="exact"/>
              <w:rPr>
                <w:sz w:val="20"/>
                <w:szCs w:val="20"/>
                <w:color w:val="auto"/>
              </w:rPr>
            </w:pPr>
            <w:r>
              <w:rPr>
                <w:rFonts w:ascii="Arial" w:cs="Arial" w:eastAsia="Arial" w:hAnsi="Arial"/>
                <w:sz w:val="18"/>
                <w:szCs w:val="18"/>
                <w:color w:val="auto"/>
              </w:rPr>
              <w:t>47,913</w:t>
            </w:r>
          </w:p>
        </w:tc>
        <w:tc>
          <w:tcPr>
            <w:tcW w:w="1560" w:type="dxa"/>
            <w:vAlign w:val="bottom"/>
            <w:tcBorders>
              <w:bottom w:val="single" w:sz="8" w:color="auto"/>
            </w:tcBorders>
          </w:tcPr>
          <w:p>
            <w:pPr>
              <w:jc w:val="right"/>
              <w:ind w:right="392"/>
              <w:spacing w:after="0" w:line="196" w:lineRule="exact"/>
              <w:rPr>
                <w:sz w:val="20"/>
                <w:szCs w:val="20"/>
                <w:color w:val="auto"/>
              </w:rPr>
            </w:pPr>
            <w:r>
              <w:rPr>
                <w:rFonts w:ascii="Arial" w:cs="Arial" w:eastAsia="Arial" w:hAnsi="Arial"/>
                <w:sz w:val="18"/>
                <w:szCs w:val="18"/>
                <w:color w:val="auto"/>
              </w:rPr>
              <w:t>47,884</w:t>
            </w:r>
          </w:p>
        </w:tc>
        <w:tc>
          <w:tcPr>
            <w:tcW w:w="18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100,797</w:t>
            </w:r>
          </w:p>
        </w:tc>
      </w:tr>
      <w:tr>
        <w:trPr>
          <w:trHeight w:val="203"/>
        </w:trPr>
        <w:tc>
          <w:tcPr>
            <w:tcW w:w="308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Viswanathan, Sanoke</w:t>
            </w:r>
          </w:p>
        </w:tc>
        <w:tc>
          <w:tcPr>
            <w:tcW w:w="2300" w:type="dxa"/>
            <w:vAlign w:val="bottom"/>
            <w:tcBorders>
              <w:bottom w:val="single" w:sz="8" w:color="auto"/>
            </w:tcBorders>
            <w:shd w:val="clear" w:color="auto" w:fill="CCCCCC"/>
          </w:tcPr>
          <w:p>
            <w:pPr>
              <w:jc w:val="right"/>
              <w:ind w:right="354"/>
              <w:spacing w:after="0" w:line="196" w:lineRule="exact"/>
              <w:rPr>
                <w:sz w:val="20"/>
                <w:szCs w:val="20"/>
                <w:color w:val="auto"/>
              </w:rPr>
            </w:pPr>
            <w:r>
              <w:rPr>
                <w:rFonts w:ascii="Arial" w:cs="Arial" w:eastAsia="Arial" w:hAnsi="Arial"/>
                <w:sz w:val="18"/>
                <w:szCs w:val="18"/>
                <w:color w:val="auto"/>
              </w:rPr>
              <w:t>106,875</w:t>
            </w:r>
          </w:p>
        </w:tc>
        <w:tc>
          <w:tcPr>
            <w:tcW w:w="1560" w:type="dxa"/>
            <w:vAlign w:val="bottom"/>
            <w:tcBorders>
              <w:bottom w:val="single" w:sz="8" w:color="auto"/>
            </w:tcBorders>
            <w:shd w:val="clear" w:color="auto" w:fill="CCCCCC"/>
          </w:tcPr>
          <w:p>
            <w:pPr>
              <w:jc w:val="right"/>
              <w:ind w:right="392"/>
              <w:spacing w:after="0" w:line="196" w:lineRule="exact"/>
              <w:rPr>
                <w:sz w:val="20"/>
                <w:szCs w:val="20"/>
                <w:color w:val="auto"/>
              </w:rPr>
            </w:pPr>
            <w:r>
              <w:rPr>
                <w:rFonts w:ascii="Arial" w:cs="Arial" w:eastAsia="Arial" w:hAnsi="Arial"/>
                <w:sz w:val="18"/>
                <w:szCs w:val="18"/>
                <w:color w:val="auto"/>
              </w:rPr>
              <w:t>106,883</w:t>
            </w:r>
          </w:p>
        </w:tc>
        <w:tc>
          <w:tcPr>
            <w:tcW w:w="1860" w:type="dxa"/>
            <w:vAlign w:val="bottom"/>
            <w:tcBorders>
              <w:bottom w:val="single" w:sz="8" w:color="auto"/>
            </w:tcBorders>
            <w:shd w:val="clear" w:color="auto" w:fill="CCCCCC"/>
          </w:tcPr>
          <w:p>
            <w:pPr>
              <w:jc w:val="center"/>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CCCC"/>
          </w:tcPr>
          <w:p>
            <w:pPr>
              <w:jc w:val="right"/>
              <w:ind w:right="413"/>
              <w:spacing w:after="0" w:line="196" w:lineRule="exact"/>
              <w:rPr>
                <w:sz w:val="20"/>
                <w:szCs w:val="20"/>
                <w:color w:val="auto"/>
              </w:rPr>
            </w:pPr>
            <w:r>
              <w:rPr>
                <w:rFonts w:ascii="Arial" w:cs="Arial" w:eastAsia="Arial" w:hAnsi="Arial"/>
                <w:sz w:val="18"/>
                <w:szCs w:val="18"/>
                <w:color w:val="auto"/>
              </w:rPr>
              <w:t>5,000</w:t>
            </w:r>
          </w:p>
        </w:tc>
        <w:tc>
          <w:tcPr>
            <w:tcW w:w="1060" w:type="dxa"/>
            <w:vAlign w:val="bottom"/>
            <w:tcBorders>
              <w:bottom w:val="single" w:sz="8" w:color="auto"/>
            </w:tcBorders>
            <w:shd w:val="clear" w:color="auto" w:fill="CCCCCC"/>
          </w:tcPr>
          <w:p>
            <w:pPr>
              <w:jc w:val="right"/>
              <w:ind w:right="12"/>
              <w:spacing w:after="0" w:line="196" w:lineRule="exact"/>
              <w:rPr>
                <w:sz w:val="20"/>
                <w:szCs w:val="20"/>
                <w:color w:val="auto"/>
              </w:rPr>
            </w:pPr>
            <w:r>
              <w:rPr>
                <w:rFonts w:ascii="Arial" w:cs="Arial" w:eastAsia="Arial" w:hAnsi="Arial"/>
                <w:sz w:val="18"/>
                <w:szCs w:val="18"/>
                <w:color w:val="auto"/>
              </w:rPr>
              <w:t>218,758</w:t>
            </w:r>
          </w:p>
        </w:tc>
      </w:tr>
    </w:tbl>
    <w:p>
      <w:pPr>
        <w:spacing w:after="0" w:line="153" w:lineRule="exact"/>
        <w:rPr>
          <w:sz w:val="20"/>
          <w:szCs w:val="20"/>
          <w:color w:val="auto"/>
        </w:rPr>
      </w:pPr>
    </w:p>
    <w:p>
      <w:pPr>
        <w:jc w:val="both"/>
        <w:ind w:left="460" w:hanging="398"/>
        <w:spacing w:after="0" w:line="247"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no more than 50% of non-employee director compensation. Directors may elect to defer some or all the compensation earned or paid in cash under the NED Plan. For 2018, Mr. Mestre elected to receive all cash compensation in the form of deferred stock units; Mr. Shammo elected to receive 10% of cash compensation in the form of deferred stock units; and until his retirement from the Board on May 23, 2018, Mr. Sweeney elected to defer all cash compensation into investment options offered under the NED Plan.</w:t>
      </w:r>
    </w:p>
    <w:p>
      <w:pPr>
        <w:spacing w:after="0" w:line="147" w:lineRule="exact"/>
        <w:rPr>
          <w:rFonts w:ascii="Arial" w:cs="Arial" w:eastAsia="Arial" w:hAnsi="Arial"/>
          <w:sz w:val="14"/>
          <w:szCs w:val="14"/>
          <w:color w:val="auto"/>
        </w:rPr>
      </w:pPr>
    </w:p>
    <w:p>
      <w:pPr>
        <w:jc w:val="both"/>
        <w:ind w:left="460" w:hanging="398"/>
        <w:spacing w:after="0" w:line="245"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stock awards represent a minimum of 50% non-employee director compensation. Amounts represent the aggregate grant date fair value computed in accordance with FASB ASC Topic 718. The number of deferred stock units or shares of Common Stock to be received pursuant to the equity portion of non-employee director compensation is equal to the value of the compensation being paid in the form of equity divided by the Company’s closing stock price on the date of grant. For 2018, directors had the opportunity to receive the equity portion of their compensation in the form of the Company’s Common Stock on each quarterly payment date. Mr. Coleman, Mr. Hardy, Ms. Krominga and Mr. Sweeney made such an election. Each of the other directors received stock awards in the form of deferred stock units.</w:t>
      </w:r>
    </w:p>
    <w:p>
      <w:pPr>
        <w:spacing w:after="0" w:line="150" w:lineRule="exact"/>
        <w:rPr>
          <w:rFonts w:ascii="Arial" w:cs="Arial" w:eastAsia="Arial" w:hAnsi="Arial"/>
          <w:sz w:val="14"/>
          <w:szCs w:val="14"/>
          <w:color w:val="auto"/>
        </w:rPr>
      </w:pPr>
    </w:p>
    <w:p>
      <w:pPr>
        <w:jc w:val="both"/>
        <w:ind w:left="460"/>
        <w:spacing w:after="0" w:line="247" w:lineRule="auto"/>
        <w:rPr>
          <w:rFonts w:ascii="Arial" w:cs="Arial" w:eastAsia="Arial" w:hAnsi="Arial"/>
          <w:sz w:val="14"/>
          <w:szCs w:val="14"/>
          <w:color w:val="auto"/>
        </w:rPr>
      </w:pPr>
      <w:r>
        <w:rPr>
          <w:rFonts w:ascii="Arial" w:cs="Arial" w:eastAsia="Arial" w:hAnsi="Arial"/>
          <w:sz w:val="14"/>
          <w:szCs w:val="14"/>
          <w:color w:val="auto"/>
        </w:rPr>
        <w:t>Outstanding stock awards for the Company’s current non-employee directors at fiscal year-end were as follows: for Ms. Choksi, 69,149 deferred stock units; for Mr. Coleman, 69,827 deferred stock units; for Mr. Fox, 14,871 deferred stock units; for Ms. Krominga, 53,906 deferred stock units; for Mr. Lurie, 2,042 deferred stock units; for Mr. Mestre, 81,281 deferred stock units; for Mr. Salerno, 22,616 deferred stock units; for Mr. Shammo, 2,601 deferred stock units; for Mr. Sparks, 2,185 deferred stock units; and for Mr. Viswanathan, 8,337 deferred stock units.</w:t>
      </w:r>
    </w:p>
    <w:p>
      <w:pPr>
        <w:spacing w:after="0" w:line="147" w:lineRule="exact"/>
        <w:rPr>
          <w:rFonts w:ascii="Arial" w:cs="Arial" w:eastAsia="Arial" w:hAnsi="Arial"/>
          <w:sz w:val="14"/>
          <w:szCs w:val="14"/>
          <w:color w:val="auto"/>
        </w:rPr>
      </w:pPr>
    </w:p>
    <w:p>
      <w:pPr>
        <w:ind w:left="460" w:hanging="398"/>
        <w:spacing w:after="0" w:line="258"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As described above, Mr. Sweeney elected to defer the cash portion of his 2018 director compensation into certain investment options available under the NED Plan. There were no above-market or preferential earnings in 2018 as any earnings were market-based, consistent with the investment options selected by Mr. Sweeney.</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jc w:val="both"/>
        <w:ind w:left="460" w:hanging="398"/>
        <w:spacing w:after="0" w:line="246" w:lineRule="auto"/>
        <w:tabs>
          <w:tab w:leader="none" w:pos="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 for all non-employee directors. For Mr. Nelson, who held the role of Executive Chairman of the Board through May 23, 2018, represents: (i) base salary for 2018, based on an annual rate of $800,000, for the period of the year in which he held such role; (ii) consulting fees, based on an annual rate of $200,000, for the remainder of the year; and (iii) benefits, which continued post-employment in accordance with Mr. Nelson’s Employment Agreement with the Company, comprised of: an executive car benefit, excess liability umbrella policy benefit and continued health benefits.</w:t>
      </w:r>
    </w:p>
    <w:p>
      <w:pPr>
        <w:spacing w:after="0" w:line="312" w:lineRule="exact"/>
        <w:rPr>
          <w:rFonts w:ascii="Arial" w:cs="Arial" w:eastAsia="Arial" w:hAnsi="Arial"/>
          <w:sz w:val="14"/>
          <w:szCs w:val="14"/>
          <w:color w:val="auto"/>
        </w:rPr>
      </w:pPr>
    </w:p>
    <w:p>
      <w:pPr>
        <w:ind w:left="460" w:hanging="398"/>
        <w:spacing w:after="0"/>
        <w:tabs>
          <w:tab w:leader="none" w:pos="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Choi and Mr. Pahwa have elected not to receive compensation for Board service.</w:t>
      </w:r>
    </w:p>
    <w:p>
      <w:pPr>
        <w:spacing w:after="0" w:line="163" w:lineRule="exact"/>
        <w:rPr>
          <w:rFonts w:ascii="Arial" w:cs="Arial" w:eastAsia="Arial" w:hAnsi="Arial"/>
          <w:sz w:val="14"/>
          <w:szCs w:val="14"/>
          <w:color w:val="auto"/>
        </w:rPr>
      </w:pPr>
    </w:p>
    <w:p>
      <w:pPr>
        <w:ind w:left="460" w:hanging="398"/>
        <w:spacing w:after="0"/>
        <w:tabs>
          <w:tab w:leader="none" w:pos="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Mr. Hardy and Mr. Sweeney retired from the Board, effective May 23, 2018.</w:t>
      </w:r>
    </w:p>
    <w:p>
      <w:pPr>
        <w:spacing w:after="0" w:line="163" w:lineRule="exact"/>
        <w:rPr>
          <w:rFonts w:ascii="Arial" w:cs="Arial" w:eastAsia="Arial" w:hAnsi="Arial"/>
          <w:sz w:val="14"/>
          <w:szCs w:val="14"/>
          <w:color w:val="auto"/>
        </w:rPr>
      </w:pPr>
    </w:p>
    <w:p>
      <w:pPr>
        <w:ind w:left="460" w:hanging="398"/>
        <w:spacing w:after="0"/>
        <w:tabs>
          <w:tab w:leader="none" w:pos="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Messrs. Pahwa and Sparks were appointed to the Board effective April 20, 2018. Messrs. Lurie and Shammo were elected to the Board effective May 23, 2018.</w:t>
      </w:r>
    </w:p>
    <w:p>
      <w:pPr>
        <w:spacing w:after="0" w:line="163" w:lineRule="exact"/>
        <w:rPr>
          <w:rFonts w:ascii="Arial" w:cs="Arial" w:eastAsia="Arial" w:hAnsi="Arial"/>
          <w:sz w:val="14"/>
          <w:szCs w:val="14"/>
          <w:color w:val="auto"/>
        </w:rPr>
      </w:pPr>
    </w:p>
    <w:p>
      <w:pPr>
        <w:ind w:left="460" w:right="20" w:hanging="398"/>
        <w:spacing w:after="0" w:line="258" w:lineRule="auto"/>
        <w:tabs>
          <w:tab w:leader="none" w:pos="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the compensation reflected above, Mr. Salerno was also paid the following amounts in 2018, which were previously earned and accrued during his prior employment with the Company: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6780" w:type="dxa"/>
            <w:vAlign w:val="bottom"/>
            <w:tcBorders>
              <w:top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Avis Rent A Car System, LLC Pension Plan</w:t>
            </w:r>
          </w:p>
        </w:tc>
        <w:tc>
          <w:tcPr>
            <w:tcW w:w="2860" w:type="dxa"/>
            <w:vAlign w:val="bottom"/>
            <w:tcBorders>
              <w:top w:val="single" w:sz="8" w:color="auto"/>
            </w:tcBorders>
            <w:shd w:val="clear" w:color="auto" w:fill="CCCCCC"/>
          </w:tcPr>
          <w:p>
            <w:pPr>
              <w:jc w:val="right"/>
              <w:ind w:right="2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CCCC"/>
          </w:tcPr>
          <w:p>
            <w:pPr>
              <w:jc w:val="right"/>
              <w:ind w:right="468"/>
              <w:spacing w:after="0"/>
              <w:rPr>
                <w:sz w:val="20"/>
                <w:szCs w:val="20"/>
                <w:color w:val="auto"/>
              </w:rPr>
            </w:pPr>
            <w:r>
              <w:rPr>
                <w:rFonts w:ascii="Arial" w:cs="Arial" w:eastAsia="Arial" w:hAnsi="Arial"/>
                <w:sz w:val="14"/>
                <w:szCs w:val="14"/>
                <w:color w:val="auto"/>
              </w:rPr>
              <w:t>40,597</w:t>
            </w:r>
          </w:p>
        </w:tc>
      </w:tr>
      <w:tr>
        <w:trPr>
          <w:trHeight w:val="169"/>
        </w:trPr>
        <w:tc>
          <w:tcPr>
            <w:tcW w:w="6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Avis Rent A Car System, LLC Retirement Equalization Benefit Plan</w:t>
            </w:r>
          </w:p>
        </w:tc>
        <w:tc>
          <w:tcPr>
            <w:tcW w:w="2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59,075</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Compensation Committee is comprised entirely of independent directors and administers the Company’s executive compensation policies and programs. Leonard S. Coleman has served as a member of our Compensation Committee since August 2006. Brian J. Choi and Jeffrey H. Fox were appointed to the Compensation Committee in January 2016. Mary Choksi was appointed to the Compensation Committee in May 2018. None of these Directors were officers or employees of the Company or any of the Company’s subsidiaries or had any relationship requiring disclosure by the Company under Item 404 of the SEC’s Regulation S-K during 2018 or before.</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Report of Audit Committee</w:t>
      </w:r>
    </w:p>
    <w:p>
      <w:pPr>
        <w:spacing w:after="0" w:line="2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performing its oversight function, the Audit Committee discussed the consolidated financial statements with management and the independent auditors. The Audit Committee also discussed with the independent auditors the matters required to be discussed under the rules adopted by the PCAOB.</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2018 for filing with the SEC. The Audit Committee also has recommended the selection of the Company’s independent registered public accounting firm for fiscal year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AUDIT COMMITTEE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Francis J. Shammo, Chairman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jc w:val="center"/>
        <w:spacing w:after="0" w:line="234" w:lineRule="auto"/>
        <w:rPr>
          <w:sz w:val="20"/>
          <w:szCs w:val="20"/>
          <w:color w:val="auto"/>
        </w:rPr>
      </w:pPr>
      <w:r>
        <w:rPr>
          <w:rFonts w:ascii="Arial" w:cs="Arial" w:eastAsia="Arial" w:hAnsi="Arial"/>
          <w:sz w:val="18"/>
          <w:szCs w:val="18"/>
          <w:i w:val="1"/>
          <w:iCs w:val="1"/>
          <w:color w:val="auto"/>
        </w:rPr>
        <w:t>Glenn Lurie</w:t>
      </w:r>
    </w:p>
    <w:p>
      <w:pPr>
        <w:jc w:val="center"/>
        <w:spacing w:after="0" w:line="235" w:lineRule="auto"/>
        <w:rPr>
          <w:sz w:val="20"/>
          <w:szCs w:val="20"/>
          <w:color w:val="auto"/>
        </w:rPr>
      </w:pPr>
      <w:r>
        <w:rPr>
          <w:rFonts w:ascii="Arial" w:cs="Arial" w:eastAsia="Arial" w:hAnsi="Arial"/>
          <w:sz w:val="18"/>
          <w:szCs w:val="18"/>
          <w:i w:val="1"/>
          <w:iCs w:val="1"/>
          <w:color w:val="auto"/>
        </w:rPr>
        <w:t>F. Robert Salerno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Carl Sparks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Proposal No. 2</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Ratification of Appointment of Auditors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212" w:lineRule="exact"/>
        <w:rPr>
          <w:sz w:val="20"/>
          <w:szCs w:val="20"/>
          <w:color w:val="auto"/>
        </w:rPr>
      </w:pPr>
    </w:p>
    <w:p>
      <w:pPr>
        <w:ind w:left="360" w:hanging="352"/>
        <w:spacing w:after="0" w:line="246"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appointing, compensating and overseeing the work performed by our independent auditors related to the audit of our annual consolidated financial statements and internal controls over financial reporting; and</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 with the assistance of management.</w:t>
      </w:r>
    </w:p>
    <w:p>
      <w:pPr>
        <w:spacing w:after="0" w:line="2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Audit Committee has appointed Deloitte &amp; Touche LLP (“Deloitte”) as the Company’s independent registered public accounting firm for the fiscal year ending December 31, 2019. Deloitte has served as our independent registered public accounting firm since 1997. Prior to appointing Deloitte for 2019,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lead engagement partner from Deloitte is required to be rotated every five years. The process for selecting a new lead engagement partner includes a meeting between the Chair of the Audit Committee and the candidate for this role, as well as discussion by the full Audit Committee and with senior management.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shareholders.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Principal Accounting Firm Fees. </w:t>
      </w:r>
      <w:r>
        <w:rPr>
          <w:rFonts w:ascii="Arial" w:cs="Arial" w:eastAsia="Arial" w:hAnsi="Arial"/>
          <w:sz w:val="18"/>
          <w:szCs w:val="18"/>
          <w:color w:val="auto"/>
        </w:rPr>
        <w:t>Fees billed to the Company by Deloitte, the member firms of Deloitte Touche Tohmatsu,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(collectively, the “Deloitte Entities”) for the years ended December 31, 2018 and 2017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b w:val="1"/>
                <w:bCs w:val="1"/>
                <w:color w:val="auto"/>
              </w:rPr>
              <w:t>Fee</w:t>
            </w:r>
          </w:p>
        </w:tc>
        <w:tc>
          <w:tcPr>
            <w:tcW w:w="940" w:type="dxa"/>
            <w:vAlign w:val="bottom"/>
          </w:tcPr>
          <w:p>
            <w:pPr>
              <w:spacing w:after="0"/>
              <w:rPr>
                <w:sz w:val="14"/>
                <w:szCs w:val="14"/>
                <w:color w:val="auto"/>
              </w:rPr>
            </w:pPr>
          </w:p>
        </w:tc>
      </w:tr>
      <w:tr>
        <w:trPr>
          <w:trHeight w:val="182"/>
        </w:trPr>
        <w:tc>
          <w:tcPr>
            <w:tcW w:w="516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(in thousands)</w:t>
            </w:r>
          </w:p>
        </w:tc>
      </w:tr>
      <w:tr>
        <w:trPr>
          <w:trHeight w:val="169"/>
        </w:trPr>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Type of Fees</w:t>
            </w:r>
          </w:p>
        </w:tc>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162"/>
        </w:trPr>
        <w:tc>
          <w:tcPr>
            <w:tcW w:w="516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Audit Fees</w:t>
            </w:r>
          </w:p>
        </w:tc>
        <w:tc>
          <w:tcPr>
            <w:tcW w:w="406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8,203</w:t>
            </w:r>
          </w:p>
        </w:tc>
        <w:tc>
          <w:tcPr>
            <w:tcW w:w="50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CCCC"/>
          </w:tcPr>
          <w:p>
            <w:pPr>
              <w:jc w:val="right"/>
              <w:ind w:right="268"/>
              <w:spacing w:after="0"/>
              <w:rPr>
                <w:sz w:val="20"/>
                <w:szCs w:val="20"/>
                <w:color w:val="auto"/>
              </w:rPr>
            </w:pPr>
            <w:r>
              <w:rPr>
                <w:rFonts w:ascii="Arial" w:cs="Arial" w:eastAsia="Arial" w:hAnsi="Arial"/>
                <w:sz w:val="14"/>
                <w:szCs w:val="14"/>
                <w:color w:val="auto"/>
              </w:rPr>
              <w:t>8,551</w:t>
            </w:r>
          </w:p>
        </w:tc>
      </w:tr>
      <w:tr>
        <w:trPr>
          <w:trHeight w:val="156"/>
        </w:trPr>
        <w:tc>
          <w:tcPr>
            <w:tcW w:w="51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Audit-Related Fees</w:t>
            </w:r>
          </w:p>
        </w:tc>
        <w:tc>
          <w:tcPr>
            <w:tcW w:w="4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393</w:t>
            </w: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725</w:t>
            </w:r>
          </w:p>
        </w:tc>
      </w:tr>
      <w:tr>
        <w:trPr>
          <w:trHeight w:val="156"/>
        </w:trPr>
        <w:tc>
          <w:tcPr>
            <w:tcW w:w="516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Tax Fees</w:t>
            </w:r>
          </w:p>
        </w:tc>
        <w:tc>
          <w:tcPr>
            <w:tcW w:w="4060" w:type="dxa"/>
            <w:vAlign w:val="bottom"/>
            <w:tcBorders>
              <w:bottom w:val="single" w:sz="8" w:color="auto"/>
            </w:tcBorders>
            <w:shd w:val="clear" w:color="auto" w:fill="CCCCC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CCCC"/>
          </w:tcPr>
          <w:p>
            <w:pPr>
              <w:jc w:val="right"/>
              <w:ind w:right="68"/>
              <w:spacing w:after="0" w:line="155" w:lineRule="exact"/>
              <w:rPr>
                <w:sz w:val="20"/>
                <w:szCs w:val="20"/>
                <w:color w:val="auto"/>
              </w:rPr>
            </w:pPr>
            <w:r>
              <w:rPr>
                <w:rFonts w:ascii="Arial" w:cs="Arial" w:eastAsia="Arial" w:hAnsi="Arial"/>
                <w:sz w:val="14"/>
                <w:szCs w:val="14"/>
                <w:color w:val="auto"/>
              </w:rPr>
              <w:t>3,316</w:t>
            </w:r>
          </w:p>
        </w:tc>
        <w:tc>
          <w:tcPr>
            <w:tcW w:w="500" w:type="dxa"/>
            <w:vAlign w:val="bottom"/>
            <w:tcBorders>
              <w:bottom w:val="single" w:sz="8" w:color="auto"/>
            </w:tcBorders>
            <w:shd w:val="clear" w:color="auto" w:fill="CCCCC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CCCC"/>
          </w:tcPr>
          <w:p>
            <w:pPr>
              <w:jc w:val="right"/>
              <w:ind w:right="268"/>
              <w:spacing w:after="0" w:line="155" w:lineRule="exact"/>
              <w:rPr>
                <w:sz w:val="20"/>
                <w:szCs w:val="20"/>
                <w:color w:val="auto"/>
              </w:rPr>
            </w:pPr>
            <w:r>
              <w:rPr>
                <w:rFonts w:ascii="Arial" w:cs="Arial" w:eastAsia="Arial" w:hAnsi="Arial"/>
                <w:sz w:val="14"/>
                <w:szCs w:val="14"/>
                <w:color w:val="auto"/>
              </w:rPr>
              <w:t>2,670</w:t>
            </w:r>
          </w:p>
        </w:tc>
      </w:tr>
      <w:tr>
        <w:trPr>
          <w:trHeight w:val="163"/>
        </w:trPr>
        <w:tc>
          <w:tcPr>
            <w:tcW w:w="51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All Other Fees</w:t>
            </w:r>
          </w:p>
        </w:tc>
        <w:tc>
          <w:tcPr>
            <w:tcW w:w="40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w:t>
            </w:r>
          </w:p>
        </w:tc>
      </w:tr>
    </w:tbl>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 financial statements for the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and 2017 and for the reviews of the consolidated condensed financial statements included in the Company’s Quarterly Reports on Form 10-Q and for other attest services, including services related to regulatory and statutory filings and financings.</w:t>
      </w:r>
    </w:p>
    <w:p>
      <w:pPr>
        <w:spacing w:after="0" w:line="174"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2018 and 2017 primarily relate to services in connection with potential transactions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audits of employee benefit plans.</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 fiscal years ended December 31, 2018 and 2017 relate to tax compliance, tax</w:t>
      </w:r>
      <w:r>
        <w:rPr>
          <w:rFonts w:ascii="Arial" w:cs="Arial" w:eastAsia="Arial" w:hAnsi="Arial"/>
          <w:sz w:val="18"/>
          <w:szCs w:val="18"/>
          <w:i w:val="1"/>
          <w:iCs w:val="1"/>
          <w:color w:val="auto"/>
        </w:rPr>
        <w:t xml:space="preserve"> </w:t>
      </w:r>
      <w:r>
        <w:rPr>
          <w:rFonts w:ascii="Arial" w:cs="Arial" w:eastAsia="Arial" w:hAnsi="Arial"/>
          <w:sz w:val="18"/>
          <w:szCs w:val="18"/>
          <w:color w:val="auto"/>
        </w:rPr>
        <w:t>advice and tax planning. For the fiscal year ended December 31, 2018, approximately $1.6 million of such fees related to tax compliance and approximately $1.7 million related to tax advice and tax planning. For the fiscal year ended December 31, 2017, approximately $1.7 million of such fees related to tax compliance and approximately $1.0 million related to tax advice and tax planning.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There were no other fees for the fiscal year ended December 31, 2018 or December 31, 2017.</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auditing procedures or providing accounting advice to the Company within a specified period of time in any role in which such person would be in a position to influence the contents of the Company’s consolidated financial statements.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Audit Committee has established a policy for the pre-approval of all audit and permissible non-audit services to be provided by the independent registered public accounting firm, as described below.</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services performed by the independent registered public accounting firm in 2018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and fees for the fiscal year.</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171" w:lineRule="exact"/>
        <w:rPr>
          <w:sz w:val="20"/>
          <w:szCs w:val="20"/>
          <w:color w:val="auto"/>
        </w:rPr>
      </w:pPr>
    </w:p>
    <w:p>
      <w:pPr>
        <w:jc w:val="center"/>
        <w:ind w:left="260" w:right="2340"/>
        <w:spacing w:after="0" w:line="238" w:lineRule="auto"/>
        <w:rPr>
          <w:sz w:val="20"/>
          <w:szCs w:val="20"/>
          <w:color w:val="auto"/>
        </w:rPr>
      </w:pPr>
      <w:r>
        <w:rPr>
          <w:rFonts w:ascii="Arial" w:cs="Arial" w:eastAsia="Arial" w:hAnsi="Arial"/>
          <w:sz w:val="22"/>
          <w:szCs w:val="22"/>
          <w:b w:val="1"/>
          <w:bCs w:val="1"/>
          <w:color w:val="auto"/>
        </w:rPr>
        <w:t>THE BOARD OF DIRECTORS RECOMMENDS A VOTE “FOR” THE RATIFICATION OF DELOITTE &amp; TOUCHE LLP AS THE COMPANY’S INDEPENDENT REGISTERED PUBLIC ACCOUNTING FIRM FOR THE FISCAL YEAR ENDING DECEMBER 31, 2019.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Proposal No. 3</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Advisory Approval Of Executive Compensation</w:t>
      </w:r>
    </w:p>
    <w:p>
      <w:pPr>
        <w:spacing w:after="0" w:line="2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required by Section 14A of the Exchange Act, the Company is asking its shareholders to approve an advisory resolution to approve the compensation of our named executive officers as follows: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as described in this Proxy Statement.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THE APPROVAL OF THE RESOLUTION SET FORTH ABOVE.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Proposal No. 4</w:t>
      </w:r>
    </w:p>
    <w:p>
      <w:pPr>
        <w:spacing w:after="0" w:line="192" w:lineRule="exact"/>
        <w:rPr>
          <w:sz w:val="20"/>
          <w:szCs w:val="20"/>
          <w:color w:val="auto"/>
        </w:rPr>
      </w:pPr>
    </w:p>
    <w:p>
      <w:pPr>
        <w:ind w:right="40"/>
        <w:spacing w:after="0" w:line="288" w:lineRule="auto"/>
        <w:rPr>
          <w:sz w:val="20"/>
          <w:szCs w:val="20"/>
          <w:color w:val="auto"/>
        </w:rPr>
      </w:pPr>
      <w:r>
        <w:rPr>
          <w:rFonts w:ascii="Arial" w:cs="Arial" w:eastAsia="Arial" w:hAnsi="Arial"/>
          <w:sz w:val="25"/>
          <w:szCs w:val="25"/>
          <w:b w:val="1"/>
          <w:bCs w:val="1"/>
          <w:color w:val="auto"/>
        </w:rPr>
        <w:t>Proposal To Approve The Avis Budget Group, Inc. Amended and Restated Equity and Incentive Plan</w:t>
      </w:r>
    </w:p>
    <w:p>
      <w:pPr>
        <w:spacing w:after="0" w:line="15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March 2019, the Board approved, subject to shareholder approval at the Meeting, an amendment and restatement to the Avis Budget Group, Inc. Amended and Restated Equity and Incentive Plan (the “Plan”), most recently amended and restated with stockholder approval in 2016, to:</w:t>
      </w:r>
    </w:p>
    <w:p>
      <w:pPr>
        <w:spacing w:after="0" w:line="183" w:lineRule="exact"/>
        <w:rPr>
          <w:sz w:val="20"/>
          <w:szCs w:val="20"/>
          <w:color w:val="auto"/>
        </w:rPr>
      </w:pPr>
    </w:p>
    <w:p>
      <w:pPr>
        <w:ind w:left="700" w:hanging="370"/>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the number of shares authorized for issuance under the Plan by 2.4 million shares;</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Extend the term to May 22, 2029;</w:t>
      </w:r>
    </w:p>
    <w:p>
      <w:pPr>
        <w:spacing w:after="0" w:line="211" w:lineRule="exact"/>
        <w:rPr>
          <w:rFonts w:ascii="Arial" w:cs="Arial" w:eastAsia="Arial" w:hAnsi="Arial"/>
          <w:sz w:val="18"/>
          <w:szCs w:val="18"/>
          <w:color w:val="auto"/>
        </w:rPr>
      </w:pPr>
    </w:p>
    <w:p>
      <w:pPr>
        <w:jc w:val="both"/>
        <w:ind w:left="700" w:hanging="370"/>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no dividends (or dividend equivalents) shall be payable with respect to any shares of stock underlying an award until such award has vested; provided, however, that a grantee may be provided with the right to the accrual of dividends (or dividend equivalents) on the unvested portion of an award that may be payable upon vesting;</w:t>
      </w:r>
    </w:p>
    <w:p>
      <w:pPr>
        <w:spacing w:after="0" w:line="189" w:lineRule="exact"/>
        <w:rPr>
          <w:rFonts w:ascii="Arial" w:cs="Arial" w:eastAsia="Arial" w:hAnsi="Arial"/>
          <w:sz w:val="18"/>
          <w:szCs w:val="18"/>
          <w:color w:val="auto"/>
        </w:rPr>
      </w:pPr>
    </w:p>
    <w:p>
      <w:pPr>
        <w:ind w:left="700" w:right="20" w:hanging="370"/>
        <w:spacing w:after="0" w:line="246"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that a minimum one-year vesting period shall apply to all stock-based awards, subject to certain exceptions described below; and</w:t>
      </w:r>
    </w:p>
    <w:p>
      <w:pPr>
        <w:spacing w:after="0" w:line="183" w:lineRule="exact"/>
        <w:rPr>
          <w:rFonts w:ascii="Arial" w:cs="Arial" w:eastAsia="Arial" w:hAnsi="Arial"/>
          <w:sz w:val="18"/>
          <w:szCs w:val="18"/>
          <w:color w:val="auto"/>
        </w:rPr>
      </w:pPr>
    </w:p>
    <w:p>
      <w:pPr>
        <w:ind w:left="700" w:hanging="370"/>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Remove provisions related to Section 162(m) of the Internal Revenue Code, which has been repealed, that are no longer relevant.</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2018, our revenue totaled $9.1 billion, our net income was $165 million, and our Adjusted EBITDA was $781 million. The Board believes the Company’s performance is due, in large part, to its highly engaged and service-focused employees and that our future success depends on our ability to attract and retain talented employees. The Board believes that equity awards can be a powerful recruiting and retention tool, while recognizing the need to be cognizant of the dilutive effect of such awards. From the inception of the Company’s current share repurchase program in 2013 through December 31, 2018, the Company has repurchased approximately 40.4 million shares of common stock. Share repurchases can have the effect of offsetting or neutralizing the impact of dilution from equity awards.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Plan includes key provisions designed to protect stockholder interests, promote effective corporate governance and reflect use of corporate governance best practices including, but not limited to, the following:</w:t>
      </w:r>
    </w:p>
    <w:p>
      <w:pPr>
        <w:spacing w:after="0" w:line="165" w:lineRule="exact"/>
        <w:rPr>
          <w:sz w:val="20"/>
          <w:szCs w:val="20"/>
          <w:color w:val="auto"/>
        </w:rPr>
      </w:pPr>
    </w:p>
    <w:p>
      <w:pPr>
        <w:ind w:left="700" w:hanging="370"/>
        <w:spacing w:after="0" w:line="26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 Discounted Options. </w:t>
      </w:r>
      <w:r>
        <w:rPr>
          <w:rFonts w:ascii="Arial" w:cs="Arial" w:eastAsia="Arial" w:hAnsi="Arial"/>
          <w:sz w:val="18"/>
          <w:szCs w:val="18"/>
          <w:color w:val="auto"/>
        </w:rPr>
        <w:t>Stock options may not be granted with exercise prices lower than the fair market value of the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on the grant date.</w:t>
      </w:r>
    </w:p>
    <w:p>
      <w:pPr>
        <w:spacing w:after="0" w:line="160" w:lineRule="exact"/>
        <w:rPr>
          <w:rFonts w:ascii="Arial" w:cs="Arial" w:eastAsia="Arial" w:hAnsi="Arial"/>
          <w:sz w:val="18"/>
          <w:szCs w:val="18"/>
          <w:color w:val="auto"/>
        </w:rPr>
      </w:pPr>
    </w:p>
    <w:p>
      <w:pPr>
        <w:jc w:val="both"/>
        <w:ind w:left="700" w:hanging="370"/>
        <w:spacing w:after="0" w:line="251"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of Under-water Options. </w:t>
      </w:r>
      <w:r>
        <w:rPr>
          <w:rFonts w:ascii="Arial" w:cs="Arial" w:eastAsia="Arial" w:hAnsi="Arial"/>
          <w:sz w:val="18"/>
          <w:szCs w:val="18"/>
          <w:color w:val="auto"/>
        </w:rPr>
        <w:t>The terms of the Plan do not allow for the repricing of “under-water” options,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cancellation and reissuance of new options in exchange for stock options whose stock price is above the then-current fair value of the Company’s Common Stock.</w:t>
      </w:r>
    </w:p>
    <w:p>
      <w:pPr>
        <w:spacing w:after="0" w:line="174" w:lineRule="exact"/>
        <w:rPr>
          <w:rFonts w:ascii="Arial" w:cs="Arial" w:eastAsia="Arial" w:hAnsi="Arial"/>
          <w:sz w:val="18"/>
          <w:szCs w:val="18"/>
          <w:color w:val="auto"/>
        </w:rPr>
      </w:pPr>
    </w:p>
    <w:p>
      <w:pPr>
        <w:ind w:left="700" w:hanging="370"/>
        <w:spacing w:after="0" w:line="26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 Share Recycling for Net Exercise or Tax Withholding. </w:t>
      </w:r>
      <w:r>
        <w:rPr>
          <w:rFonts w:ascii="Arial" w:cs="Arial" w:eastAsia="Arial" w:hAnsi="Arial"/>
          <w:sz w:val="18"/>
          <w:szCs w:val="18"/>
          <w:color w:val="auto"/>
        </w:rPr>
        <w:t>Shares surrendered or withheld to pay either the exercise price of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or to withhold taxes in respect of an award do not become available for issuance as future awards under our plan.</w:t>
      </w:r>
    </w:p>
    <w:p>
      <w:pPr>
        <w:spacing w:after="0" w:line="160" w:lineRule="exact"/>
        <w:rPr>
          <w:rFonts w:ascii="Arial" w:cs="Arial" w:eastAsia="Arial" w:hAnsi="Arial"/>
          <w:sz w:val="18"/>
          <w:szCs w:val="18"/>
          <w:color w:val="auto"/>
        </w:rPr>
      </w:pPr>
    </w:p>
    <w:p>
      <w:pPr>
        <w:ind w:left="700" w:right="20" w:hanging="370"/>
        <w:spacing w:after="0" w:line="26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 Evergreen Provision. </w:t>
      </w:r>
      <w:r>
        <w:rPr>
          <w:rFonts w:ascii="Arial" w:cs="Arial" w:eastAsia="Arial" w:hAnsi="Arial"/>
          <w:sz w:val="18"/>
          <w:szCs w:val="18"/>
          <w:color w:val="auto"/>
        </w:rPr>
        <w:t>There is no “evergreen” or automatic replenishment provision pursuant to which the shares authorized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under the Plan are automatically replenished.</w:t>
      </w:r>
    </w:p>
    <w:p>
      <w:pPr>
        <w:spacing w:after="0" w:line="160" w:lineRule="exact"/>
        <w:rPr>
          <w:rFonts w:ascii="Arial" w:cs="Arial" w:eastAsia="Arial" w:hAnsi="Arial"/>
          <w:sz w:val="18"/>
          <w:szCs w:val="18"/>
          <w:color w:val="auto"/>
        </w:rPr>
      </w:pPr>
    </w:p>
    <w:p>
      <w:pPr>
        <w:ind w:left="700" w:hanging="37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 Automatic Grants. </w:t>
      </w:r>
      <w:r>
        <w:rPr>
          <w:rFonts w:ascii="Arial" w:cs="Arial" w:eastAsia="Arial" w:hAnsi="Arial"/>
          <w:sz w:val="18"/>
          <w:szCs w:val="18"/>
          <w:color w:val="auto"/>
        </w:rPr>
        <w:t>The Plan does not provide for automatic grants to any participant.</w:t>
      </w:r>
    </w:p>
    <w:p>
      <w:pPr>
        <w:spacing w:after="0" w:line="225" w:lineRule="exact"/>
        <w:rPr>
          <w:rFonts w:ascii="Arial" w:cs="Arial" w:eastAsia="Arial" w:hAnsi="Arial"/>
          <w:sz w:val="18"/>
          <w:szCs w:val="18"/>
          <w:color w:val="auto"/>
        </w:rPr>
      </w:pPr>
    </w:p>
    <w:p>
      <w:pPr>
        <w:ind w:left="700" w:hanging="37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No Dividend Payments on Unvested Awards. </w:t>
      </w:r>
      <w:r>
        <w:rPr>
          <w:rFonts w:ascii="Arial" w:cs="Arial" w:eastAsia="Arial" w:hAnsi="Arial"/>
          <w:sz w:val="18"/>
          <w:szCs w:val="18"/>
          <w:color w:val="auto"/>
        </w:rPr>
        <w:t>Dividends and dividend equivalents cannot be paid unless an award vests.</w:t>
      </w:r>
    </w:p>
    <w:p>
      <w:pPr>
        <w:spacing w:after="0" w:line="225" w:lineRule="exact"/>
        <w:rPr>
          <w:rFonts w:ascii="Arial" w:cs="Arial" w:eastAsia="Arial" w:hAnsi="Arial"/>
          <w:sz w:val="18"/>
          <w:szCs w:val="18"/>
          <w:color w:val="auto"/>
        </w:rPr>
      </w:pPr>
    </w:p>
    <w:p>
      <w:pPr>
        <w:ind w:left="700" w:hanging="370"/>
        <w:spacing w:after="0" w:line="267"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Limits on Equity Awards to Non-Employee Directors. </w:t>
      </w:r>
      <w:r>
        <w:rPr>
          <w:rFonts w:ascii="Arial" w:cs="Arial" w:eastAsia="Arial" w:hAnsi="Arial"/>
          <w:sz w:val="18"/>
          <w:szCs w:val="18"/>
          <w:color w:val="auto"/>
        </w:rPr>
        <w:t>The grant date fair value of awards granted to any individual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in any year cannot exceed $1.0 million, excluding awards in lieu of cash retainers and any stock dividends.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text of the proposed amendment and restatement of the Plan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 and the description of the Plan set forth herein is qualified in its entirety by reference to the text thereof. If approved by stockholders, the Plan, as amended, will become effective as of May 22, 2019. If we do not obtain requisite stockholder approval of the amended Plan, the current Plan (without giving effect to the proposed share increase) will remain in effect.</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3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and restricted stock units under all of our existing equity compensation plans as of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 to</w:t>
            </w:r>
          </w:p>
        </w:tc>
        <w:tc>
          <w:tcPr>
            <w:tcW w:w="220" w:type="dxa"/>
            <w:vAlign w:val="bottom"/>
          </w:tcPr>
          <w:p>
            <w:pPr>
              <w:spacing w:after="0"/>
              <w:rPr>
                <w:sz w:val="16"/>
                <w:szCs w:val="16"/>
                <w:color w:val="auto"/>
              </w:rPr>
            </w:pPr>
          </w:p>
        </w:tc>
        <w:tc>
          <w:tcPr>
            <w:tcW w:w="2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Weighted-Average</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r>
      <w:tr>
        <w:trPr>
          <w:trHeight w:val="189"/>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be Issued Upon</w:t>
            </w:r>
          </w:p>
        </w:tc>
        <w:tc>
          <w:tcPr>
            <w:tcW w:w="220" w:type="dxa"/>
            <w:vAlign w:val="bottom"/>
          </w:tcPr>
          <w:p>
            <w:pPr>
              <w:spacing w:after="0"/>
              <w:rPr>
                <w:sz w:val="16"/>
                <w:szCs w:val="16"/>
                <w:color w:val="auto"/>
              </w:rPr>
            </w:pPr>
          </w:p>
        </w:tc>
        <w:tc>
          <w:tcPr>
            <w:tcW w:w="2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Exercise Price of</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Future Issuance Under</w:t>
            </w:r>
          </w:p>
        </w:tc>
      </w:tr>
      <w:tr>
        <w:trPr>
          <w:trHeight w:val="189"/>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Exercise of Outstanding</w:t>
            </w:r>
          </w:p>
        </w:tc>
        <w:tc>
          <w:tcPr>
            <w:tcW w:w="220" w:type="dxa"/>
            <w:vAlign w:val="bottom"/>
          </w:tcPr>
          <w:p>
            <w:pPr>
              <w:spacing w:after="0"/>
              <w:rPr>
                <w:sz w:val="16"/>
                <w:szCs w:val="16"/>
                <w:color w:val="auto"/>
              </w:rPr>
            </w:pPr>
          </w:p>
        </w:tc>
        <w:tc>
          <w:tcPr>
            <w:tcW w:w="2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Outstanding Options,</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w:t>
            </w:r>
          </w:p>
        </w:tc>
      </w:tr>
      <w:tr>
        <w:trPr>
          <w:trHeight w:val="189"/>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Options, Warrants,</w:t>
            </w:r>
          </w:p>
        </w:tc>
        <w:tc>
          <w:tcPr>
            <w:tcW w:w="220" w:type="dxa"/>
            <w:vAlign w:val="bottom"/>
          </w:tcPr>
          <w:p>
            <w:pPr>
              <w:spacing w:after="0"/>
              <w:rPr>
                <w:sz w:val="16"/>
                <w:szCs w:val="16"/>
                <w:color w:val="auto"/>
              </w:rPr>
            </w:pPr>
          </w:p>
        </w:tc>
        <w:tc>
          <w:tcPr>
            <w:tcW w:w="2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Warrants and Rights</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rPr>
              <w:t>Rights and Restricted</w:t>
            </w:r>
          </w:p>
        </w:tc>
        <w:tc>
          <w:tcPr>
            <w:tcW w:w="220" w:type="dxa"/>
            <w:vAlign w:val="bottom"/>
          </w:tcPr>
          <w:p>
            <w:pPr>
              <w:spacing w:after="0"/>
              <w:rPr>
                <w:sz w:val="16"/>
                <w:szCs w:val="16"/>
                <w:color w:val="auto"/>
              </w:rPr>
            </w:pPr>
          </w:p>
        </w:tc>
        <w:tc>
          <w:tcPr>
            <w:tcW w:w="2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(Excludes Restricted</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Securities Reflected in</w:t>
            </w:r>
          </w:p>
        </w:tc>
      </w:tr>
      <w:tr>
        <w:trPr>
          <w:trHeight w:val="214"/>
        </w:trPr>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Plan Category</w:t>
            </w:r>
          </w:p>
        </w:tc>
        <w:tc>
          <w:tcPr>
            <w:tcW w:w="220" w:type="dxa"/>
            <w:vAlign w:val="bottom"/>
            <w:tcBorders>
              <w:bottom w:val="single" w:sz="8" w:color="CCCCCC"/>
            </w:tcBorders>
          </w:tcPr>
          <w:p>
            <w:pPr>
              <w:spacing w:after="0"/>
              <w:rPr>
                <w:sz w:val="18"/>
                <w:szCs w:val="18"/>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Stock Units (a)</w:t>
            </w:r>
          </w:p>
        </w:tc>
        <w:tc>
          <w:tcPr>
            <w:tcW w:w="220" w:type="dxa"/>
            <w:vAlign w:val="bottom"/>
            <w:tcBorders>
              <w:bottom w:val="single" w:sz="8" w:color="CCCCCC"/>
            </w:tcBorders>
          </w:tcPr>
          <w:p>
            <w:pPr>
              <w:spacing w:after="0"/>
              <w:rPr>
                <w:sz w:val="18"/>
                <w:szCs w:val="18"/>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Stock Units) ($)</w:t>
            </w:r>
          </w:p>
        </w:tc>
        <w:tc>
          <w:tcPr>
            <w:tcW w:w="240" w:type="dxa"/>
            <w:vAlign w:val="bottom"/>
            <w:tcBorders>
              <w:bottom w:val="single" w:sz="8" w:color="CCCCCC"/>
            </w:tcBorders>
          </w:tcPr>
          <w:p>
            <w:pPr>
              <w:spacing w:after="0"/>
              <w:rPr>
                <w:sz w:val="18"/>
                <w:szCs w:val="18"/>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First Column) (b)</w:t>
            </w:r>
          </w:p>
        </w:tc>
      </w:tr>
      <w:tr>
        <w:trPr>
          <w:trHeight w:val="191"/>
        </w:trPr>
        <w:tc>
          <w:tcPr>
            <w:tcW w:w="2740" w:type="dxa"/>
            <w:vAlign w:val="bottom"/>
            <w:gridSpan w:val="2"/>
            <w:shd w:val="clear" w:color="auto" w:fill="CCCCCC"/>
          </w:tcPr>
          <w:p>
            <w:pPr>
              <w:ind w:left="60"/>
              <w:spacing w:after="0"/>
              <w:rPr>
                <w:sz w:val="20"/>
                <w:szCs w:val="20"/>
                <w:color w:val="auto"/>
              </w:rPr>
            </w:pPr>
            <w:r>
              <w:rPr>
                <w:rFonts w:ascii="Arial" w:cs="Arial" w:eastAsia="Arial" w:hAnsi="Arial"/>
                <w:sz w:val="16"/>
                <w:szCs w:val="16"/>
                <w:color w:val="auto"/>
              </w:rPr>
              <w:t>Equity compensation plans</w:t>
            </w:r>
          </w:p>
        </w:tc>
        <w:tc>
          <w:tcPr>
            <w:tcW w:w="2760" w:type="dxa"/>
            <w:vAlign w:val="bottom"/>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2740" w:type="dxa"/>
            <w:vAlign w:val="bottom"/>
            <w:shd w:val="clear" w:color="auto" w:fill="CCCCCC"/>
          </w:tcPr>
          <w:p>
            <w:pPr>
              <w:spacing w:after="0"/>
              <w:rPr>
                <w:sz w:val="16"/>
                <w:szCs w:val="16"/>
                <w:color w:val="auto"/>
              </w:rPr>
            </w:pPr>
          </w:p>
        </w:tc>
        <w:tc>
          <w:tcPr>
            <w:tcW w:w="240" w:type="dxa"/>
            <w:vAlign w:val="bottom"/>
            <w:shd w:val="clear" w:color="auto" w:fill="CCCCCC"/>
          </w:tcPr>
          <w:p>
            <w:pPr>
              <w:spacing w:after="0"/>
              <w:rPr>
                <w:sz w:val="16"/>
                <w:szCs w:val="16"/>
                <w:color w:val="auto"/>
              </w:rPr>
            </w:pPr>
          </w:p>
        </w:tc>
        <w:tc>
          <w:tcPr>
            <w:tcW w:w="2720" w:type="dxa"/>
            <w:vAlign w:val="bottom"/>
            <w:shd w:val="clear" w:color="auto" w:fill="CCCCCC"/>
          </w:tcPr>
          <w:p>
            <w:pPr>
              <w:spacing w:after="0"/>
              <w:rPr>
                <w:sz w:val="16"/>
                <w:szCs w:val="16"/>
                <w:color w:val="auto"/>
              </w:rPr>
            </w:pPr>
          </w:p>
        </w:tc>
      </w:tr>
      <w:tr>
        <w:trPr>
          <w:trHeight w:val="189"/>
        </w:trPr>
        <w:tc>
          <w:tcPr>
            <w:tcW w:w="2740" w:type="dxa"/>
            <w:vAlign w:val="bottom"/>
            <w:gridSpan w:val="2"/>
            <w:shd w:val="clear" w:color="auto" w:fill="CCCCCC"/>
          </w:tcPr>
          <w:p>
            <w:pPr>
              <w:ind w:left="60"/>
              <w:spacing w:after="0"/>
              <w:rPr>
                <w:sz w:val="20"/>
                <w:szCs w:val="20"/>
                <w:color w:val="auto"/>
              </w:rPr>
            </w:pPr>
            <w:r>
              <w:rPr>
                <w:rFonts w:ascii="Arial" w:cs="Arial" w:eastAsia="Arial" w:hAnsi="Arial"/>
                <w:sz w:val="16"/>
                <w:szCs w:val="16"/>
                <w:color w:val="auto"/>
              </w:rPr>
              <w:t>approved by Company</w:t>
            </w:r>
          </w:p>
        </w:tc>
        <w:tc>
          <w:tcPr>
            <w:tcW w:w="2760" w:type="dxa"/>
            <w:vAlign w:val="bottom"/>
            <w:shd w:val="clear" w:color="auto" w:fill="CCCCCC"/>
          </w:tcPr>
          <w:p>
            <w:pPr>
              <w:spacing w:after="0"/>
              <w:rPr>
                <w:sz w:val="16"/>
                <w:szCs w:val="16"/>
                <w:color w:val="auto"/>
              </w:rPr>
            </w:pPr>
          </w:p>
        </w:tc>
        <w:tc>
          <w:tcPr>
            <w:tcW w:w="220" w:type="dxa"/>
            <w:vAlign w:val="bottom"/>
            <w:shd w:val="clear" w:color="auto" w:fill="CCCCCC"/>
          </w:tcPr>
          <w:p>
            <w:pPr>
              <w:spacing w:after="0"/>
              <w:rPr>
                <w:sz w:val="16"/>
                <w:szCs w:val="16"/>
                <w:color w:val="auto"/>
              </w:rPr>
            </w:pPr>
          </w:p>
        </w:tc>
        <w:tc>
          <w:tcPr>
            <w:tcW w:w="2740" w:type="dxa"/>
            <w:vAlign w:val="bottom"/>
            <w:shd w:val="clear" w:color="auto" w:fill="CCCCCC"/>
          </w:tcPr>
          <w:p>
            <w:pPr>
              <w:spacing w:after="0"/>
              <w:rPr>
                <w:sz w:val="16"/>
                <w:szCs w:val="16"/>
                <w:color w:val="auto"/>
              </w:rPr>
            </w:pPr>
          </w:p>
        </w:tc>
        <w:tc>
          <w:tcPr>
            <w:tcW w:w="240" w:type="dxa"/>
            <w:vAlign w:val="bottom"/>
            <w:shd w:val="clear" w:color="auto" w:fill="CCCCCC"/>
          </w:tcPr>
          <w:p>
            <w:pPr>
              <w:spacing w:after="0"/>
              <w:rPr>
                <w:sz w:val="16"/>
                <w:szCs w:val="16"/>
                <w:color w:val="auto"/>
              </w:rPr>
            </w:pPr>
          </w:p>
        </w:tc>
        <w:tc>
          <w:tcPr>
            <w:tcW w:w="2720" w:type="dxa"/>
            <w:vAlign w:val="bottom"/>
            <w:shd w:val="clear" w:color="auto" w:fill="CCCCCC"/>
          </w:tcPr>
          <w:p>
            <w:pPr>
              <w:spacing w:after="0"/>
              <w:rPr>
                <w:sz w:val="16"/>
                <w:szCs w:val="16"/>
                <w:color w:val="auto"/>
              </w:rPr>
            </w:pPr>
          </w:p>
        </w:tc>
      </w:tr>
      <w:tr>
        <w:trPr>
          <w:trHeight w:val="187"/>
        </w:trPr>
        <w:tc>
          <w:tcPr>
            <w:tcW w:w="2740" w:type="dxa"/>
            <w:vAlign w:val="bottom"/>
            <w:tcBorders>
              <w:bottom w:val="single" w:sz="8" w:color="auto"/>
            </w:tcBorders>
            <w:gridSpan w:val="2"/>
            <w:shd w:val="clear" w:color="auto" w:fill="CCCCCC"/>
          </w:tcPr>
          <w:p>
            <w:pPr>
              <w:ind w:left="60"/>
              <w:spacing w:after="0"/>
              <w:rPr>
                <w:sz w:val="20"/>
                <w:szCs w:val="20"/>
                <w:color w:val="auto"/>
              </w:rPr>
            </w:pPr>
            <w:r>
              <w:rPr>
                <w:rFonts w:ascii="Arial" w:cs="Arial" w:eastAsia="Arial" w:hAnsi="Arial"/>
                <w:sz w:val="16"/>
                <w:szCs w:val="16"/>
                <w:color w:val="auto"/>
              </w:rPr>
              <w:t>stockholders</w:t>
            </w:r>
          </w:p>
        </w:tc>
        <w:tc>
          <w:tcPr>
            <w:tcW w:w="27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2,457,610</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w w:val="96"/>
              </w:rPr>
              <w:t>0.79</w:t>
            </w:r>
          </w:p>
        </w:tc>
        <w:tc>
          <w:tcPr>
            <w:tcW w:w="240" w:type="dxa"/>
            <w:vAlign w:val="bottom"/>
            <w:tcBorders>
              <w:bottom w:val="single" w:sz="8" w:color="auto"/>
            </w:tcBorders>
            <w:shd w:val="clear" w:color="auto" w:fill="CCCCCC"/>
          </w:tcPr>
          <w:p>
            <w:pPr>
              <w:spacing w:after="0"/>
              <w:rPr>
                <w:sz w:val="16"/>
                <w:szCs w:val="16"/>
                <w:color w:val="auto"/>
              </w:rPr>
            </w:pPr>
          </w:p>
        </w:tc>
        <w:tc>
          <w:tcPr>
            <w:tcW w:w="27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5,889,509</w:t>
            </w:r>
          </w:p>
        </w:tc>
      </w:tr>
      <w:tr>
        <w:trPr>
          <w:trHeight w:val="184"/>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Equity compensation plans not</w:t>
            </w: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89"/>
        </w:trPr>
        <w:tc>
          <w:tcPr>
            <w:tcW w:w="2740" w:type="dxa"/>
            <w:vAlign w:val="bottom"/>
            <w:gridSpan w:val="2"/>
          </w:tcPr>
          <w:p>
            <w:pPr>
              <w:ind w:left="60"/>
              <w:spacing w:after="0"/>
              <w:rPr>
                <w:sz w:val="20"/>
                <w:szCs w:val="20"/>
                <w:color w:val="auto"/>
              </w:rPr>
            </w:pPr>
            <w:r>
              <w:rPr>
                <w:rFonts w:ascii="Arial" w:cs="Arial" w:eastAsia="Arial" w:hAnsi="Arial"/>
                <w:sz w:val="16"/>
                <w:szCs w:val="16"/>
                <w:color w:val="auto"/>
              </w:rPr>
              <w:t>approved by Company</w:t>
            </w: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4"/>
        </w:trPr>
        <w:tc>
          <w:tcPr>
            <w:tcW w:w="27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stockholders</w:t>
            </w: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9"/>
              </w:rPr>
              <w:t>—</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196"/>
        </w:trPr>
        <w:tc>
          <w:tcPr>
            <w:tcW w:w="2740" w:type="dxa"/>
            <w:vAlign w:val="bottom"/>
            <w:tcBorders>
              <w:bottom w:val="single" w:sz="8" w:color="auto"/>
            </w:tcBorders>
            <w:gridSpan w:val="2"/>
            <w:shd w:val="clear" w:color="auto" w:fill="CCCCCC"/>
          </w:tcPr>
          <w:p>
            <w:pPr>
              <w:ind w:left="60"/>
              <w:spacing w:after="0"/>
              <w:rPr>
                <w:sz w:val="20"/>
                <w:szCs w:val="20"/>
                <w:color w:val="auto"/>
              </w:rPr>
            </w:pPr>
            <w:r>
              <w:rPr>
                <w:rFonts w:ascii="Arial" w:cs="Arial" w:eastAsia="Arial" w:hAnsi="Arial"/>
                <w:sz w:val="16"/>
                <w:szCs w:val="16"/>
                <w:color w:val="auto"/>
              </w:rPr>
              <w:t>Total</w:t>
            </w:r>
          </w:p>
        </w:tc>
        <w:tc>
          <w:tcPr>
            <w:tcW w:w="27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2,457,610</w:t>
            </w:r>
          </w:p>
        </w:tc>
        <w:tc>
          <w:tcPr>
            <w:tcW w:w="22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6"/>
                <w:szCs w:val="16"/>
                <w:color w:val="auto"/>
              </w:rPr>
              <w:t>$</w:t>
            </w:r>
          </w:p>
        </w:tc>
        <w:tc>
          <w:tcPr>
            <w:tcW w:w="2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w w:val="96"/>
              </w:rPr>
              <w:t>0.79</w:t>
            </w:r>
          </w:p>
        </w:tc>
        <w:tc>
          <w:tcPr>
            <w:tcW w:w="240" w:type="dxa"/>
            <w:vAlign w:val="bottom"/>
            <w:tcBorders>
              <w:bottom w:val="single" w:sz="8" w:color="auto"/>
            </w:tcBorders>
            <w:shd w:val="clear" w:color="auto" w:fill="CCCCCC"/>
          </w:tcPr>
          <w:p>
            <w:pPr>
              <w:spacing w:after="0"/>
              <w:rPr>
                <w:sz w:val="17"/>
                <w:szCs w:val="17"/>
                <w:color w:val="auto"/>
              </w:rPr>
            </w:pPr>
          </w:p>
        </w:tc>
        <w:tc>
          <w:tcPr>
            <w:tcW w:w="27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5,889,509</w:t>
            </w:r>
          </w:p>
        </w:tc>
      </w:tr>
    </w:tbl>
    <w:p>
      <w:pPr>
        <w:spacing w:after="0" w:line="204" w:lineRule="exact"/>
        <w:rPr>
          <w:sz w:val="20"/>
          <w:szCs w:val="20"/>
          <w:color w:val="auto"/>
        </w:rPr>
      </w:pPr>
    </w:p>
    <w:p>
      <w:pPr>
        <w:jc w:val="both"/>
        <w:ind w:left="460" w:hanging="398"/>
        <w:spacing w:after="0" w:line="249"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options and other awards granted under the Amended and Restated Equity and Incentive Plan, which plan was approved by stockholders. Represents 56,765 options, 838,200 time-based restricted stock units and 1,168,803 performance-based restricted stock units, plus 393,842 stock awards which have been granted to non-employee directors. The stock awards granted to non-employee directors represent between 50% and 100% of a director’s annual compensation and have been deferred under the Non-employee Directors Deferred Compensation Plan. The number of performance-based restricted stock units set forth in the second sentence of this paragraph reflects the maximum number of units assuming achievement of all performance-vesting criteria.</w:t>
      </w:r>
    </w:p>
    <w:p>
      <w:pPr>
        <w:spacing w:after="0" w:line="178" w:lineRule="exact"/>
        <w:rPr>
          <w:rFonts w:ascii="Arial" w:cs="Arial" w:eastAsia="Arial" w:hAnsi="Arial"/>
          <w:sz w:val="16"/>
          <w:szCs w:val="16"/>
          <w:color w:val="auto"/>
        </w:rPr>
      </w:pPr>
    </w:p>
    <w:p>
      <w:pPr>
        <w:ind w:left="460" w:hanging="398"/>
        <w:spacing w:after="0" w:line="260"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3,469,070 shares available for issuance under the Amended and Restated Equity and Inventive Plan and 2,420,439 shares available for issuance pursuant to the 2009 Employee Stock Purchase Plan.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the Amended and Restated Equity and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Plan, initially adopted by the Board and approved by stockholders in 2007, was subsequently amended in 2009, 2012, 2014 and 2016 to increase the shares available for issuance. Such amendments were approved by stockholders.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purpose of the Plan is to facilitate the attraction and retention of key executive talent critical to our long-term success, to tie a significant portion of executives’ compensation to the performance of the Company, including long-term performance, to align compensation with stockholder interests and to provide the Company with a strong long-term retention tool.</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Plan provides for the grant of equity-based and other awards, including restricted stock, restricted stock units, stock options, stock appreciation rights and other equity-based awards to our non-employee directors, executive officers and other key employees, consultants, independent contractors, and other individuals who perform services for the Company who are selected by our Compensation Committee for participation in Plan based on the purpose of the Plan, as described above. As of December 31, 2018, we employed approximately 30,000 people. There are currently twelve non-employee directors, seven executive officers, approximately 500 other key employees and no consultants, independent contractors or other individuals who perform services for the Company who are eligible to receive awards under the Plan, however, any of the individuals mentioned in the first sentence of this paragraph may receive awards under the Plan in the future in the discretion of the Committee.</w:t>
      </w:r>
    </w:p>
    <w:p>
      <w:pPr>
        <w:spacing w:after="0" w:line="20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Under the Plan, the aggregate grant date fair value of all awards granted to any individual non-employee director in any calendar year shall not exceed $1.0 million (excluding awards made in lieu of cash retainers and any stock dividends payable in respect of outstanding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closing price of the Company’s Common Stock as of December 31, 2018 was $22.48.</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Plan is administered by our Compensation Committee, which has the authority, among other things, to determine who will be granted awards and all of the terms and conditions of the awards. The Compensation Committee is also authorized to determine to what extent an award may be settled, cancelled, forfeited or surrendered, to interpret the Plan and any awards granted thereunder and to make all other determinations necessary or advisable for the administration of the Plan. Where the vesting or payment of an award under the Plan is subject to the attainment of performance goals, the Compensation Committee is responsible for certifying that the performance goals have been attained. Neither the Compensation Committee nor our Board has the authority under the Plan to reprice, or to cancel and re-grant, any stock option or, if applicable, other award granted under the Plan, that would lower the exercise, base or purchase price without first obtaining the approval of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Incentive Programs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Upon approval of the proposed amendment, we estimate that we will have approximately 5.1 million shares available for future issuance under the Plan, comprised of the shares available for issuance under the current Plan (without giving effect to any of the amendments described in this proposal) plus the shares which will become authorized for issuance upon such approval. Including past grants under the current Plan, the maximum aggregate number of shares of Common Stock reserved for the grant of awards under the Plan would be approximately 22.5 million upon approval of the proposed amendment, subject to adjustment as provided in the Plan.</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Plan places limits of the maximum amount of awards that may be granted to any participant in any plan year. Under the Plan, no participant may receive awards that cover in the aggregate more than 1.0 million shares in any plan year. Shares issued under the Plan may be authorized but unissued shares or treasury shares. Awards granted after June 2009, except options and stock appreciation rights, must be counted against the foregoing share limit as 1.18 shares for every one share actually issued in connection with such award.</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Shares of stock that are surrendered or withheld as payment of either the exercise price of an award or withholding taxes in respect of an award (including shares underlying a stock appreciation right that are retained by the Company to account for the grant price of the stock appreciation right) are no longer available for awards under the Plan. If any shares subject to an award granted under the Plan are forfeited, cancelled or surrendered or if an award terminates or expires without a distribution of shares, those shares of Common Stock will again be available for awards under the Plan. In the event that the Compensation Committee determines that any corporate event, such as a stock split, reorganization, merger, consolidation, repurchase or share exchange affects our Common Stock such that an adjustment is appropriate in order to prevent dilution or enlargement of the rights of Plan participants, then the Compensation Committee will make those adjustments as it deems necessary or appropriate to any or all of:</w:t>
      </w:r>
    </w:p>
    <w:p>
      <w:pPr>
        <w:spacing w:after="0" w:line="195" w:lineRule="exact"/>
        <w:rPr>
          <w:sz w:val="20"/>
          <w:szCs w:val="20"/>
          <w:color w:val="auto"/>
        </w:rPr>
      </w:pPr>
    </w:p>
    <w:p>
      <w:pPr>
        <w:ind w:left="700" w:hanging="370"/>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number and kind of shares or other property that may thereafter be issued in connection with future awards;</w:t>
      </w:r>
    </w:p>
    <w:p>
      <w:pPr>
        <w:spacing w:after="0" w:line="225" w:lineRule="exact"/>
        <w:rPr>
          <w:rFonts w:ascii="Arial" w:cs="Arial" w:eastAsia="Arial" w:hAnsi="Arial"/>
          <w:sz w:val="18"/>
          <w:szCs w:val="18"/>
          <w:color w:val="auto"/>
        </w:rPr>
      </w:pPr>
    </w:p>
    <w:p>
      <w:pPr>
        <w:ind w:left="700" w:hanging="370"/>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exercise price or purchase price of any outstanding award;</w:t>
      </w:r>
    </w:p>
    <w:p>
      <w:pPr>
        <w:spacing w:after="0" w:line="225" w:lineRule="exact"/>
        <w:rPr>
          <w:rFonts w:ascii="Arial" w:cs="Arial" w:eastAsia="Arial" w:hAnsi="Arial"/>
          <w:sz w:val="18"/>
          <w:szCs w:val="18"/>
          <w:color w:val="auto"/>
        </w:rPr>
      </w:pPr>
    </w:p>
    <w:p>
      <w:pPr>
        <w:ind w:left="700" w:hanging="370"/>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performance goals applicable to outstanding awards; and</w:t>
      </w:r>
    </w:p>
    <w:p>
      <w:pPr>
        <w:spacing w:after="0" w:line="225" w:lineRule="exact"/>
        <w:rPr>
          <w:rFonts w:ascii="Arial" w:cs="Arial" w:eastAsia="Arial" w:hAnsi="Arial"/>
          <w:sz w:val="18"/>
          <w:szCs w:val="18"/>
          <w:color w:val="auto"/>
        </w:rPr>
      </w:pPr>
    </w:p>
    <w:p>
      <w:pPr>
        <w:ind w:left="700" w:hanging="370"/>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maximum number of shares that can be issued to any one participant in any one year.</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Compensation Committee determines all of the terms and conditions of equity-based awards under the Plan, including whether the vesting or payment of an award will be subject to the attainment of performance goals. The performance goals that may be applicable to the equity incentive program under the Plan can be based on one or more of the following criteria, as more fully described in the Plan:</w:t>
      </w:r>
    </w:p>
    <w:p>
      <w:pPr>
        <w:spacing w:after="0" w:line="203" w:lineRule="exact"/>
        <w:rPr>
          <w:sz w:val="20"/>
          <w:szCs w:val="20"/>
          <w:color w:val="auto"/>
        </w:rPr>
      </w:pPr>
    </w:p>
    <w:p>
      <w:pPr>
        <w:ind w:left="700" w:hanging="37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on total stockholder equity;</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income (before or after taxes);</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Earnings before any or all of interest, taxes, minority interest, depreciation and amortization (“EBITDA”);</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Sales or revenues;</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Return on assets, capital or investment;</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 reduction goals, including goals related to operating and/or sales, general and administrative expenses;</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Implementation or completion of critical projects or processes;</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flow;</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Gross or net profit margin;</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EBITDA margin;</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Pretax income margin;</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Customer satisfaction metrics, such as net promoter scores;</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stockholder return; and</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 price.</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performance goals may be based upon the attainment of specified levels of our performance, or the performance of a subsidiary, division or other business unit, under one or more of the measures described above either on an absolute basis or relative to the performance of other entities. The Committee also has the authority to make adjustments to performance goals, including, but not limited to, in response to changes in applicable laws, regulations or accounting principles, to exclude the impact of restructuring, transaction costs, events not directly related to our operations or not within the reasonable control of management, and discontinued operations.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Options and Stock Appreciation Rights</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terms and conditions, including the exercise prices, expiration dates and other material conditions (including vesting terms), of stock options and stock appreciation rights granted under the Plan are determined by our Compensation Committee and set forth in an award agreement. Stock options, granted under the Plan may be “incentive stock options,” or non-qualified stock options. A stock appreciation right confers on the participant the right to receive an amount, in cash or shares of our Common Stock, equal to the excess of the fair market value of a share of our Common Stock on the date of exercise over the exercise price of the stock appreciation right, and may be granted alone or in tandem with another award. The exercise price of a stock option or stock appreciation right granted under the Plan will not be less than the fair market value of our Common Stock on the date of grant. The exercise price of a stock appreciation right granted in tandem with a stock option will be the same as the stock option to which the stock appreciation right relates.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vesting of a stock option or stock appreciation right is subject to such conditions as the Compensation Committee may determine, which may include the attainment of performance goals, but such vesting shall generally not occur prior to the first anniversary of the date of grant.</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Subject to the terms of the award agreement, the consideration received or to be received for the grant or extension of an option may include cash, stock or other property, as determined by the Committee. No stock option (or stock appreciation right) may be exercisable for a period of more than 10 years following the grant date of a stock option (or stock appreciation right).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terms and conditions of awards of restricted stock granted under the Plan are determined by our Compensation Committee and set forth in an award agreement. A restricted stock award granted under the Plan consists of shares of our Common Stock that may not be sold, assigned, transferred, pledged or otherwise encumbered, except as provided in the applicable award agreement or until such time as the restrictions applicable to the award lapse. Under the Plan, the Compensation Committee has the authority to determine the participants to whom restricted stock will be granted and the terms and conditions of restricted stock awards, including whether the lapse of restrictions applicable to the award will be subject to the attainment of one or more performance goals, but such lapse of restrictions shall generally not occur prior to the first anniversary of the date of grant.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restricted stock unit is an award of a right to receive a share of our Common Stock. These awards are subject to such restrictions on transferability and other restrictions, if any, as the Compensation Committee may impose at the date of grant or thereafter, which restrictions may lapse separately or in combination at such times, under such circumstances (including without limitation a specified period of employment or the satisfaction of pre-established performance goals), in such installments, or otherwise, as the Compensation Committee may determine but such lapse of restrictions shall generally not occur prior to the first anniversary of the date of grant.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Dividends (or dividend equivalents) shall not be payable with respect to any shares of stock underlying an award until such award has vested, except that a grantee of an award may be provided with the right to the accrual of dividends (or dividend equivalents) on the unvested portion of an award that may be payable upon the vesting of the award.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Cash and Equity-Based Awards</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Plan provides for other cash and equity-based awards, the form and terms of which will be as determined by the Compensation Committee, consistent with the purposes of the Plan. The vesting or payment of one of these awards may be made subject to the attainment of performance goals but such vesting for other equity-based awards shall generally not occur prior to the first anniversary of the date of grant. The maximum amount that any participant may receive under a cash award under the Plan for any annual performance period is $10 million.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Exception to Minimum Vesting Restrictions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Minimum one-year vesting restrictions on all stock-based awards referred to above may lapse or be waived in the case of death, disability, termination of service or change of control, and awards covering up to five percent of the shares of stock available to be issued under the Plan when it becomes effective may be granted with a vesting period of less than one year. Awards granted to non-employee directors in connection with their election or reelection to the Board at an annual meeting of shareholders may provide that vesting shall occur on the next annual meeting of the Company’s shareholders so long as the period between such meetings is not less than 50 weeks.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Service</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as otherwise set forth in an award agreement or determined by the Compensation Committee in its discretion, each award shall terminate immediately upon a grantee’s termination of service with the Company or any of its Subsidiaries, except that so long as such termination is not for cause, a grantee shall have 90 days following the date of such termination to exercise any portion of an option or stock appreciation right that he or she could have exercised on the date of such termination so long as the exercise is accomplished prior to the expiration of the award term.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Control</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Plan provides that, unless otherwise provided in an award or other agreement, including an employment agreement, or for awards that do not constitute deferred compensation under Section 409A of the Code, unless determined by the Compensation Committee in its discretion, in the event of a change in control (as defined in the Plan), each award outstanding as of the change in control shall be assumed, continued, or substituted with a new award that has:</w:t>
      </w:r>
    </w:p>
    <w:p>
      <w:pPr>
        <w:spacing w:after="0" w:line="202" w:lineRule="exact"/>
        <w:rPr>
          <w:sz w:val="20"/>
          <w:szCs w:val="20"/>
          <w:color w:val="auto"/>
        </w:rPr>
      </w:pPr>
    </w:p>
    <w:p>
      <w:pPr>
        <w:ind w:left="700" w:hanging="370"/>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intrinsic value equivalent to that of the original award; and</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terms at least as beneficial to the grantee as those contained in the original award agreement.</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If within two years following a change in control, a grantee is terminated for any of the reasons described below, all of the grantee’s outstanding awards which have not yet vested shall immediately vest and become exercisable and all restrictions on such awards shall immediately lapse:</w:t>
      </w:r>
    </w:p>
    <w:p>
      <w:pPr>
        <w:spacing w:after="0" w:line="197" w:lineRule="exact"/>
        <w:rPr>
          <w:sz w:val="20"/>
          <w:szCs w:val="20"/>
          <w:color w:val="auto"/>
        </w:rPr>
      </w:pPr>
    </w:p>
    <w:p>
      <w:pPr>
        <w:ind w:left="700" w:hanging="370"/>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the Company, for any reason other than for cause (as defined in the Plan); or</w:t>
      </w:r>
    </w:p>
    <w:p>
      <w:pPr>
        <w:spacing w:after="0" w:line="211" w:lineRule="exact"/>
        <w:rPr>
          <w:rFonts w:ascii="Arial" w:cs="Arial" w:eastAsia="Arial" w:hAnsi="Arial"/>
          <w:sz w:val="18"/>
          <w:szCs w:val="18"/>
          <w:color w:val="auto"/>
        </w:rPr>
      </w:pPr>
    </w:p>
    <w:p>
      <w:pPr>
        <w:ind w:left="700" w:hanging="370"/>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the grantee as a result of a constructive discharge (as defined in the Plan).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w:t>
      </w:r>
    </w:p>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 awards will be made under the Plan following May 22, 2029. Our Board or the Compensation Committee may amend or terminate the Plan at any time, provided that the amendment or termination does not adversely affect any award that is then outstanding without the award holder’s consent. We must obtain stockholder approval of an additional amendment to the Plan if stockholder approval is required to comply with any applicable law, regulation or stock exchange rule.</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Consequences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summary is intended as a general guide to the United States federal income tax consequences relating to the issuance and exercise of stock options granted under the Plan. This summary does not attempt to describe all possible federal or other tax consequences of such grants or tax consequences based on particular circumstances.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An optionee recognizes no taxable income for regular income tax purposes as the result of the grant or exercise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qualifying under Section 422 of the Internal Revenue Code (unless the optionee is subject to the alternative minimum tax). Optionees who dispose of their shares acquired upon the exercise of an incentive stock option (“ISO shares”) more than two years after the stock option grant date and more than one year after the exercise date normally will recognize a long-term capital gain or loss equal to the difference, if any, between the sale price and the amount paid for the ISO shares. If an optionee disposes of the ISO shares within two years after the stock option grant date or within one year after the exercise date (each a “disqualifying disposition”), the optionee will realize ordinary income at the time of the disposition in an amount equal to the excess, if any, of the fair market value of the ISO shares at the time of exercise (or, if less, the amount realized on such disqualifying disposition) over the exercise price of the ISO shares being purchased. Any additional gain will be capital gain, taxed at a rate that depends upon the amount of time the ISO shares were held by the optionee. The Company will be entitled to a deduction in connection with the disposition of the ISO shares only to the extent that the optionee recognizes ordinary income on a disqualifying disposition of the ISO shares.</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An optionee generally recognizes no taxable income as the result of the grant of a non-qualified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exercise of a non-qualified stock option, the optionee normally recognizes ordinary income equal to the difference between the stock option exercise price and the fair market value of the shares on the exercise date. If the optionee is a Company employee, such ordinary income generally is subject to withholding of income and employment taxes. Upon the sale of stock acquired by the exercise of a non-qualified stock option, any subsequent gain or loss, generally based on the difference between the sale price and the fair market value on the exercise date, will be taxed as capital gain or loss. The Company generally should be entitled to a deduction equal to the amount of ordinary income recognized by the optionee as a result of the exercise of a non-qualified stock option, except to the extent such deduction is limited by applicable provisions of the Code.</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Certain Other Tax Issues. </w:t>
      </w:r>
      <w:r>
        <w:rPr>
          <w:rFonts w:ascii="Arial" w:cs="Arial" w:eastAsia="Arial" w:hAnsi="Arial"/>
          <w:sz w:val="18"/>
          <w:szCs w:val="18"/>
          <w:color w:val="auto"/>
        </w:rPr>
        <w:t>In addition to the matters described above, (i) any entitlement to a tax deduction on the part of the Company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applicable federal tax rules; (ii) the exercise of an incentive stock option may have implications in the computation of the Company’s alternative minimum taxable income; (iii) certain awards under the Plan may be subject to the requirements of Section 409A of the Code (regarding nonqualified deferred compensation); and (iv) if the exercisability or vesting of any option is accelerated because of a change in control, such option (or a portion thereof), either alone or together with certain other payments, may constitute parachute payments under Section 280G of the Code, which excess amounts may be subject to excise taxes payable by the recipient. Officers and directors of the Company subject to Section 16(b) of the Securities Exchange Act of 1934, as amended, may be subject to special tax rules regarding the income tax consequences concerning their options. The Plan is not, nor is it intended to be, qualified under Section 401(a) of the Code, and is not subject to any of the requirements of the Employee Retirement Income Security Act of 1974, as amended.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Specified Benefits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No awards have been granted, and no shares have been issued, on the basis of the proposed 2,400,000 share increase. Future grants under the Plan will be made at the discretion of the Compensation Committee and, accordingly, are not yet determinable. In addition, the value of the awards granted under the Plan will depend on a number of factors, including the fair market value of our Common Stock on future dates and the exercise decisions made by the participants. Consequently, it is not possible to determine the benefits, including any awards, that might be received by participants receiving discretionary grants under the Plan.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Plan Benefits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February 13, 2019, awards covering approximately 16.5 million shares of the Company’s Common Stock had been granted under the Plan over the past eleven years since the initial adoption of the Plan, including shares subject to awards that expired or terminated without having been exercised or paid and became available for new award grants under the Plan.</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sets forth the aggregate value of benefits or amounts that would have been received by or allocated to each of the following persons or groups, in each case, under the Plan with respect to fiscal year 2018 if the Plan had been in effect, in each case, based on actual awards granted in fiscal year 2018 under the prior Plan.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20" w:type="dxa"/>
            <w:vAlign w:val="bottom"/>
          </w:tcPr>
          <w:p>
            <w:pPr>
              <w:jc w:val="center"/>
              <w:ind w:left="68"/>
              <w:spacing w:after="0"/>
              <w:rPr>
                <w:sz w:val="20"/>
                <w:szCs w:val="20"/>
                <w:color w:val="auto"/>
              </w:rPr>
            </w:pPr>
            <w:r>
              <w:rPr>
                <w:rFonts w:ascii="Arial" w:cs="Arial" w:eastAsia="Arial" w:hAnsi="Arial"/>
                <w:sz w:val="14"/>
                <w:szCs w:val="14"/>
                <w:b w:val="1"/>
                <w:bCs w:val="1"/>
                <w:color w:val="auto"/>
              </w:rPr>
              <w:t>Number of Performance-</w:t>
            </w:r>
          </w:p>
        </w:tc>
      </w:tr>
      <w:tr>
        <w:trPr>
          <w:trHeight w:val="162"/>
        </w:trPr>
        <w:tc>
          <w:tcPr>
            <w:tcW w:w="4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80" w:type="dxa"/>
            <w:vAlign w:val="bottom"/>
          </w:tcPr>
          <w:p>
            <w:pPr>
              <w:ind w:left="480"/>
              <w:spacing w:after="0"/>
              <w:rPr>
                <w:sz w:val="20"/>
                <w:szCs w:val="20"/>
                <w:color w:val="auto"/>
              </w:rPr>
            </w:pPr>
            <w:r>
              <w:rPr>
                <w:rFonts w:ascii="Arial" w:cs="Arial" w:eastAsia="Arial" w:hAnsi="Arial"/>
                <w:sz w:val="14"/>
                <w:szCs w:val="14"/>
                <w:b w:val="1"/>
                <w:bCs w:val="1"/>
                <w:color w:val="auto"/>
              </w:rPr>
              <w:t>Number of Time-Based</w:t>
            </w:r>
          </w:p>
        </w:tc>
        <w:tc>
          <w:tcPr>
            <w:tcW w:w="2420" w:type="dxa"/>
            <w:vAlign w:val="bottom"/>
          </w:tcPr>
          <w:p>
            <w:pPr>
              <w:ind w:left="680"/>
              <w:spacing w:after="0"/>
              <w:rPr>
                <w:sz w:val="20"/>
                <w:szCs w:val="20"/>
                <w:color w:val="auto"/>
              </w:rPr>
            </w:pPr>
            <w:r>
              <w:rPr>
                <w:rFonts w:ascii="Arial" w:cs="Arial" w:eastAsia="Arial" w:hAnsi="Arial"/>
                <w:sz w:val="14"/>
                <w:szCs w:val="14"/>
                <w:b w:val="1"/>
                <w:bCs w:val="1"/>
                <w:color w:val="auto"/>
              </w:rPr>
              <w:t>Based Restricted</w:t>
            </w:r>
          </w:p>
        </w:tc>
      </w:tr>
      <w:tr>
        <w:trPr>
          <w:trHeight w:val="162"/>
        </w:trPr>
        <w:tc>
          <w:tcPr>
            <w:tcW w:w="4620" w:type="dxa"/>
            <w:vAlign w:val="bottom"/>
          </w:tcPr>
          <w:p>
            <w:pPr>
              <w:spacing w:after="0"/>
              <w:rPr>
                <w:sz w:val="14"/>
                <w:szCs w:val="14"/>
                <w:color w:val="auto"/>
              </w:rPr>
            </w:pPr>
          </w:p>
        </w:tc>
        <w:tc>
          <w:tcPr>
            <w:tcW w:w="1900" w:type="dxa"/>
            <w:vAlign w:val="bottom"/>
          </w:tcPr>
          <w:p>
            <w:pPr>
              <w:ind w:left="580"/>
              <w:spacing w:after="0"/>
              <w:rPr>
                <w:sz w:val="20"/>
                <w:szCs w:val="20"/>
                <w:color w:val="auto"/>
              </w:rPr>
            </w:pPr>
            <w:r>
              <w:rPr>
                <w:rFonts w:ascii="Arial" w:cs="Arial" w:eastAsia="Arial" w:hAnsi="Arial"/>
                <w:sz w:val="14"/>
                <w:szCs w:val="14"/>
                <w:b w:val="1"/>
                <w:bCs w:val="1"/>
                <w:color w:val="auto"/>
              </w:rPr>
              <w:t>Dollar Value</w:t>
            </w:r>
          </w:p>
        </w:tc>
        <w:tc>
          <w:tcPr>
            <w:tcW w:w="2480" w:type="dxa"/>
            <w:vAlign w:val="bottom"/>
          </w:tcPr>
          <w:p>
            <w:pPr>
              <w:ind w:left="500"/>
              <w:spacing w:after="0"/>
              <w:rPr>
                <w:sz w:val="20"/>
                <w:szCs w:val="20"/>
                <w:color w:val="auto"/>
              </w:rPr>
            </w:pPr>
            <w:r>
              <w:rPr>
                <w:rFonts w:ascii="Arial" w:cs="Arial" w:eastAsia="Arial" w:hAnsi="Arial"/>
                <w:sz w:val="14"/>
                <w:szCs w:val="14"/>
                <w:b w:val="1"/>
                <w:bCs w:val="1"/>
                <w:color w:val="auto"/>
              </w:rPr>
              <w:t>Restricted Stock Units</w:t>
            </w:r>
          </w:p>
        </w:tc>
        <w:tc>
          <w:tcPr>
            <w:tcW w:w="2420" w:type="dxa"/>
            <w:vAlign w:val="bottom"/>
          </w:tcPr>
          <w:p>
            <w:pPr>
              <w:jc w:val="center"/>
              <w:ind w:left="68"/>
              <w:spacing w:after="0"/>
              <w:rPr>
                <w:sz w:val="20"/>
                <w:szCs w:val="20"/>
                <w:color w:val="auto"/>
              </w:rPr>
            </w:pPr>
            <w:r>
              <w:rPr>
                <w:rFonts w:ascii="Arial" w:cs="Arial" w:eastAsia="Arial" w:hAnsi="Arial"/>
                <w:sz w:val="14"/>
                <w:szCs w:val="14"/>
                <w:b w:val="1"/>
                <w:bCs w:val="1"/>
                <w:color w:val="auto"/>
              </w:rPr>
              <w:t>Stock Units</w:t>
            </w:r>
          </w:p>
        </w:tc>
      </w:tr>
      <w:tr>
        <w:trPr>
          <w:trHeight w:val="182"/>
        </w:trPr>
        <w:tc>
          <w:tcPr>
            <w:tcW w:w="4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and Position</w:t>
            </w:r>
          </w:p>
        </w:tc>
        <w:tc>
          <w:tcPr>
            <w:tcW w:w="19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($)(1)</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24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(#)(2)(3)</w:t>
            </w:r>
          </w:p>
        </w:tc>
      </w:tr>
      <w:tr>
        <w:trPr>
          <w:trHeight w:val="167"/>
        </w:trPr>
        <w:tc>
          <w:tcPr>
            <w:tcW w:w="4620" w:type="dxa"/>
            <w:vAlign w:val="bottom"/>
            <w:shd w:val="clear" w:color="auto" w:fill="CCCCCC"/>
          </w:tcPr>
          <w:p>
            <w:pPr>
              <w:ind w:left="60"/>
              <w:spacing w:after="0"/>
              <w:rPr>
                <w:sz w:val="20"/>
                <w:szCs w:val="20"/>
                <w:color w:val="auto"/>
              </w:rPr>
            </w:pPr>
            <w:r>
              <w:rPr>
                <w:rFonts w:ascii="Arial" w:cs="Arial" w:eastAsia="Arial" w:hAnsi="Arial"/>
                <w:sz w:val="14"/>
                <w:szCs w:val="14"/>
                <w:color w:val="auto"/>
              </w:rPr>
              <w:t>Larry D. De Shon</w:t>
            </w:r>
          </w:p>
        </w:tc>
        <w:tc>
          <w:tcPr>
            <w:tcW w:w="1900" w:type="dxa"/>
            <w:vAlign w:val="bottom"/>
            <w:shd w:val="clear" w:color="auto" w:fill="CCCCCC"/>
          </w:tcPr>
          <w:p>
            <w:pPr>
              <w:spacing w:after="0"/>
              <w:rPr>
                <w:sz w:val="14"/>
                <w:szCs w:val="14"/>
                <w:color w:val="auto"/>
              </w:rPr>
            </w:pPr>
          </w:p>
        </w:tc>
        <w:tc>
          <w:tcPr>
            <w:tcW w:w="2480" w:type="dxa"/>
            <w:vAlign w:val="bottom"/>
            <w:shd w:val="clear" w:color="auto" w:fill="CCCCCC"/>
          </w:tcPr>
          <w:p>
            <w:pPr>
              <w:spacing w:after="0"/>
              <w:rPr>
                <w:sz w:val="14"/>
                <w:szCs w:val="14"/>
                <w:color w:val="auto"/>
              </w:rPr>
            </w:pPr>
          </w:p>
        </w:tc>
        <w:tc>
          <w:tcPr>
            <w:tcW w:w="2420" w:type="dxa"/>
            <w:vAlign w:val="bottom"/>
            <w:shd w:val="clear" w:color="auto" w:fill="CCCCCC"/>
          </w:tcPr>
          <w:p>
            <w:pPr>
              <w:spacing w:after="0"/>
              <w:rPr>
                <w:sz w:val="14"/>
                <w:szCs w:val="14"/>
                <w:color w:val="auto"/>
              </w:rPr>
            </w:pPr>
          </w:p>
        </w:tc>
      </w:tr>
      <w:tr>
        <w:trPr>
          <w:trHeight w:val="157"/>
        </w:trPr>
        <w:tc>
          <w:tcPr>
            <w:tcW w:w="4620" w:type="dxa"/>
            <w:vAlign w:val="bottom"/>
            <w:tcBorders>
              <w:bottom w:val="single" w:sz="8" w:color="auto"/>
            </w:tcBorders>
            <w:shd w:val="clear" w:color="auto" w:fill="CCCCCC"/>
          </w:tcPr>
          <w:p>
            <w:pPr>
              <w:ind w:left="240"/>
              <w:spacing w:after="0" w:line="157" w:lineRule="exact"/>
              <w:rPr>
                <w:sz w:val="20"/>
                <w:szCs w:val="20"/>
                <w:color w:val="auto"/>
              </w:rPr>
            </w:pPr>
            <w:r>
              <w:rPr>
                <w:rFonts w:ascii="Arial" w:cs="Arial" w:eastAsia="Arial" w:hAnsi="Arial"/>
                <w:sz w:val="14"/>
                <w:szCs w:val="14"/>
                <w:color w:val="auto"/>
              </w:rPr>
              <w:t>Chief Executive Officer</w:t>
            </w:r>
          </w:p>
        </w:tc>
        <w:tc>
          <w:tcPr>
            <w:tcW w:w="1900" w:type="dxa"/>
            <w:vAlign w:val="bottom"/>
            <w:tcBorders>
              <w:bottom w:val="single" w:sz="8" w:color="auto"/>
            </w:tcBorders>
            <w:shd w:val="clear" w:color="auto" w:fill="CCCCCC"/>
          </w:tcPr>
          <w:p>
            <w:pPr>
              <w:jc w:val="center"/>
              <w:ind w:left="28"/>
              <w:spacing w:after="0" w:line="157" w:lineRule="exact"/>
              <w:rPr>
                <w:sz w:val="20"/>
                <w:szCs w:val="20"/>
                <w:color w:val="auto"/>
              </w:rPr>
            </w:pPr>
            <w:r>
              <w:rPr>
                <w:rFonts w:ascii="Arial" w:cs="Arial" w:eastAsia="Arial" w:hAnsi="Arial"/>
                <w:sz w:val="14"/>
                <w:szCs w:val="14"/>
                <w:color w:val="auto"/>
              </w:rPr>
              <w:t>3,106,733</w:t>
            </w:r>
          </w:p>
        </w:tc>
        <w:tc>
          <w:tcPr>
            <w:tcW w:w="2480" w:type="dxa"/>
            <w:vAlign w:val="bottom"/>
            <w:tcBorders>
              <w:bottom w:val="single" w:sz="8" w:color="auto"/>
            </w:tcBorders>
            <w:shd w:val="clear" w:color="auto" w:fill="CCCCCC"/>
          </w:tcPr>
          <w:p>
            <w:pPr>
              <w:jc w:val="center"/>
              <w:spacing w:after="0" w:line="157" w:lineRule="exact"/>
              <w:rPr>
                <w:sz w:val="20"/>
                <w:szCs w:val="20"/>
                <w:color w:val="auto"/>
              </w:rPr>
            </w:pPr>
            <w:r>
              <w:rPr>
                <w:rFonts w:ascii="Arial" w:cs="Arial" w:eastAsia="Arial" w:hAnsi="Arial"/>
                <w:sz w:val="14"/>
                <w:szCs w:val="14"/>
                <w:color w:val="auto"/>
              </w:rPr>
              <w:t>45,156</w:t>
            </w:r>
          </w:p>
        </w:tc>
        <w:tc>
          <w:tcPr>
            <w:tcW w:w="2420" w:type="dxa"/>
            <w:vAlign w:val="bottom"/>
            <w:tcBorders>
              <w:bottom w:val="single" w:sz="8" w:color="auto"/>
            </w:tcBorders>
            <w:shd w:val="clear" w:color="auto" w:fill="CCCCCC"/>
          </w:tcPr>
          <w:p>
            <w:pPr>
              <w:jc w:val="center"/>
              <w:ind w:left="68"/>
              <w:spacing w:after="0" w:line="157" w:lineRule="exact"/>
              <w:rPr>
                <w:sz w:val="20"/>
                <w:szCs w:val="20"/>
                <w:color w:val="auto"/>
              </w:rPr>
            </w:pPr>
            <w:r>
              <w:rPr>
                <w:rFonts w:ascii="Arial" w:cs="Arial" w:eastAsia="Arial" w:hAnsi="Arial"/>
                <w:sz w:val="14"/>
                <w:szCs w:val="14"/>
                <w:color w:val="auto"/>
              </w:rPr>
              <w:t>67,734</w:t>
            </w:r>
          </w:p>
        </w:tc>
      </w:tr>
      <w:tr>
        <w:trPr>
          <w:trHeight w:val="160"/>
        </w:trPr>
        <w:tc>
          <w:tcPr>
            <w:tcW w:w="4620" w:type="dxa"/>
            <w:vAlign w:val="bottom"/>
          </w:tcPr>
          <w:p>
            <w:pPr>
              <w:ind w:left="60"/>
              <w:spacing w:after="0"/>
              <w:rPr>
                <w:sz w:val="20"/>
                <w:szCs w:val="20"/>
                <w:color w:val="auto"/>
              </w:rPr>
            </w:pPr>
            <w:r>
              <w:rPr>
                <w:rFonts w:ascii="Arial" w:cs="Arial" w:eastAsia="Arial" w:hAnsi="Arial"/>
                <w:sz w:val="14"/>
                <w:szCs w:val="14"/>
                <w:color w:val="auto"/>
              </w:rPr>
              <w:t>Martyn Smith</w:t>
            </w:r>
          </w:p>
        </w:tc>
        <w:tc>
          <w:tcPr>
            <w:tcW w:w="19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57"/>
        </w:trPr>
        <w:tc>
          <w:tcPr>
            <w:tcW w:w="462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Former Interim CFO</w:t>
            </w:r>
          </w:p>
        </w:tc>
        <w:tc>
          <w:tcPr>
            <w:tcW w:w="1900" w:type="dxa"/>
            <w:vAlign w:val="bottom"/>
            <w:tcBorders>
              <w:bottom w:val="single" w:sz="8" w:color="auto"/>
            </w:tcBorders>
          </w:tcPr>
          <w:p>
            <w:pPr>
              <w:jc w:val="center"/>
              <w:ind w:left="28"/>
              <w:spacing w:after="0" w:line="157" w:lineRule="exact"/>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tcPr>
          <w:p>
            <w:pPr>
              <w:jc w:val="center"/>
              <w:ind w:left="68"/>
              <w:spacing w:after="0" w:line="157" w:lineRule="exact"/>
              <w:rPr>
                <w:sz w:val="20"/>
                <w:szCs w:val="20"/>
                <w:color w:val="auto"/>
              </w:rPr>
            </w:pPr>
            <w:r>
              <w:rPr>
                <w:rFonts w:ascii="Arial" w:cs="Arial" w:eastAsia="Arial" w:hAnsi="Arial"/>
                <w:sz w:val="14"/>
                <w:szCs w:val="14"/>
                <w:color w:val="auto"/>
              </w:rPr>
              <w:t>—</w:t>
            </w:r>
          </w:p>
        </w:tc>
      </w:tr>
      <w:tr>
        <w:trPr>
          <w:trHeight w:val="160"/>
        </w:trPr>
        <w:tc>
          <w:tcPr>
            <w:tcW w:w="4620" w:type="dxa"/>
            <w:vAlign w:val="bottom"/>
            <w:shd w:val="clear" w:color="auto" w:fill="CCCCCC"/>
          </w:tcPr>
          <w:p>
            <w:pPr>
              <w:ind w:left="60"/>
              <w:spacing w:after="0"/>
              <w:rPr>
                <w:sz w:val="20"/>
                <w:szCs w:val="20"/>
                <w:color w:val="auto"/>
              </w:rPr>
            </w:pPr>
            <w:r>
              <w:rPr>
                <w:rFonts w:ascii="Arial" w:cs="Arial" w:eastAsia="Arial" w:hAnsi="Arial"/>
                <w:sz w:val="14"/>
                <w:szCs w:val="14"/>
                <w:color w:val="auto"/>
              </w:rPr>
              <w:t>Joseph A. Ferraro</w:t>
            </w:r>
          </w:p>
        </w:tc>
        <w:tc>
          <w:tcPr>
            <w:tcW w:w="1900" w:type="dxa"/>
            <w:vAlign w:val="bottom"/>
            <w:shd w:val="clear" w:color="auto" w:fill="CCCCCC"/>
          </w:tcPr>
          <w:p>
            <w:pPr>
              <w:spacing w:after="0"/>
              <w:rPr>
                <w:sz w:val="13"/>
                <w:szCs w:val="13"/>
                <w:color w:val="auto"/>
              </w:rPr>
            </w:pPr>
          </w:p>
        </w:tc>
        <w:tc>
          <w:tcPr>
            <w:tcW w:w="2480" w:type="dxa"/>
            <w:vAlign w:val="bottom"/>
            <w:shd w:val="clear" w:color="auto" w:fill="CCCCCC"/>
          </w:tcPr>
          <w:p>
            <w:pPr>
              <w:spacing w:after="0"/>
              <w:rPr>
                <w:sz w:val="13"/>
                <w:szCs w:val="13"/>
                <w:color w:val="auto"/>
              </w:rPr>
            </w:pPr>
          </w:p>
        </w:tc>
        <w:tc>
          <w:tcPr>
            <w:tcW w:w="2420" w:type="dxa"/>
            <w:vAlign w:val="bottom"/>
            <w:shd w:val="clear" w:color="auto" w:fill="CCCCCC"/>
          </w:tcPr>
          <w:p>
            <w:pPr>
              <w:spacing w:after="0"/>
              <w:rPr>
                <w:sz w:val="13"/>
                <w:szCs w:val="13"/>
                <w:color w:val="auto"/>
              </w:rPr>
            </w:pPr>
          </w:p>
        </w:tc>
      </w:tr>
      <w:tr>
        <w:trPr>
          <w:trHeight w:val="157"/>
        </w:trPr>
        <w:tc>
          <w:tcPr>
            <w:tcW w:w="4620" w:type="dxa"/>
            <w:vAlign w:val="bottom"/>
            <w:tcBorders>
              <w:bottom w:val="single" w:sz="8" w:color="auto"/>
            </w:tcBorders>
            <w:shd w:val="clear" w:color="auto" w:fill="CCCCCC"/>
          </w:tcPr>
          <w:p>
            <w:pPr>
              <w:ind w:left="240"/>
              <w:spacing w:after="0" w:line="157" w:lineRule="exact"/>
              <w:rPr>
                <w:sz w:val="20"/>
                <w:szCs w:val="20"/>
                <w:color w:val="auto"/>
              </w:rPr>
            </w:pPr>
            <w:r>
              <w:rPr>
                <w:rFonts w:ascii="Arial" w:cs="Arial" w:eastAsia="Arial" w:hAnsi="Arial"/>
                <w:sz w:val="14"/>
                <w:szCs w:val="14"/>
                <w:color w:val="auto"/>
              </w:rPr>
              <w:t>President, Americas</w:t>
            </w:r>
          </w:p>
        </w:tc>
        <w:tc>
          <w:tcPr>
            <w:tcW w:w="1900" w:type="dxa"/>
            <w:vAlign w:val="bottom"/>
            <w:tcBorders>
              <w:bottom w:val="single" w:sz="8" w:color="auto"/>
            </w:tcBorders>
            <w:shd w:val="clear" w:color="auto" w:fill="CCCCCC"/>
          </w:tcPr>
          <w:p>
            <w:pPr>
              <w:jc w:val="center"/>
              <w:ind w:left="28"/>
              <w:spacing w:after="0" w:line="157" w:lineRule="exact"/>
              <w:rPr>
                <w:sz w:val="20"/>
                <w:szCs w:val="20"/>
                <w:color w:val="auto"/>
              </w:rPr>
            </w:pPr>
            <w:r>
              <w:rPr>
                <w:rFonts w:ascii="Arial" w:cs="Arial" w:eastAsia="Arial" w:hAnsi="Arial"/>
                <w:sz w:val="14"/>
                <w:szCs w:val="14"/>
                <w:color w:val="auto"/>
              </w:rPr>
              <w:t>677,818</w:t>
            </w:r>
          </w:p>
        </w:tc>
        <w:tc>
          <w:tcPr>
            <w:tcW w:w="2480" w:type="dxa"/>
            <w:vAlign w:val="bottom"/>
            <w:tcBorders>
              <w:bottom w:val="single" w:sz="8" w:color="auto"/>
            </w:tcBorders>
            <w:shd w:val="clear" w:color="auto" w:fill="CCCCCC"/>
          </w:tcPr>
          <w:p>
            <w:pPr>
              <w:jc w:val="center"/>
              <w:spacing w:after="0" w:line="157" w:lineRule="exact"/>
              <w:rPr>
                <w:sz w:val="20"/>
                <w:szCs w:val="20"/>
                <w:color w:val="auto"/>
              </w:rPr>
            </w:pPr>
            <w:r>
              <w:rPr>
                <w:rFonts w:ascii="Arial" w:cs="Arial" w:eastAsia="Arial" w:hAnsi="Arial"/>
                <w:sz w:val="14"/>
                <w:szCs w:val="14"/>
                <w:color w:val="auto"/>
              </w:rPr>
              <w:t>12,315</w:t>
            </w:r>
          </w:p>
        </w:tc>
        <w:tc>
          <w:tcPr>
            <w:tcW w:w="2420" w:type="dxa"/>
            <w:vAlign w:val="bottom"/>
            <w:tcBorders>
              <w:bottom w:val="single" w:sz="8" w:color="auto"/>
            </w:tcBorders>
            <w:shd w:val="clear" w:color="auto" w:fill="CCCCCC"/>
          </w:tcPr>
          <w:p>
            <w:pPr>
              <w:jc w:val="center"/>
              <w:ind w:left="68"/>
              <w:spacing w:after="0" w:line="157" w:lineRule="exact"/>
              <w:rPr>
                <w:sz w:val="20"/>
                <w:szCs w:val="20"/>
                <w:color w:val="auto"/>
              </w:rPr>
            </w:pPr>
            <w:r>
              <w:rPr>
                <w:rFonts w:ascii="Arial" w:cs="Arial" w:eastAsia="Arial" w:hAnsi="Arial"/>
                <w:sz w:val="14"/>
                <w:szCs w:val="14"/>
                <w:color w:val="auto"/>
              </w:rPr>
              <w:t>12,315</w:t>
            </w:r>
          </w:p>
        </w:tc>
      </w:tr>
      <w:tr>
        <w:trPr>
          <w:trHeight w:val="160"/>
        </w:trPr>
        <w:tc>
          <w:tcPr>
            <w:tcW w:w="4620" w:type="dxa"/>
            <w:vAlign w:val="bottom"/>
          </w:tcPr>
          <w:p>
            <w:pPr>
              <w:ind w:left="60"/>
              <w:spacing w:after="0"/>
              <w:rPr>
                <w:sz w:val="20"/>
                <w:szCs w:val="20"/>
                <w:color w:val="auto"/>
              </w:rPr>
            </w:pPr>
            <w:r>
              <w:rPr>
                <w:rFonts w:ascii="Arial" w:cs="Arial" w:eastAsia="Arial" w:hAnsi="Arial"/>
                <w:sz w:val="14"/>
                <w:szCs w:val="14"/>
                <w:color w:val="auto"/>
              </w:rPr>
              <w:t>Mark J Servodidio</w:t>
            </w:r>
          </w:p>
        </w:tc>
        <w:tc>
          <w:tcPr>
            <w:tcW w:w="19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57"/>
        </w:trPr>
        <w:tc>
          <w:tcPr>
            <w:tcW w:w="462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President, International</w:t>
            </w:r>
          </w:p>
        </w:tc>
        <w:tc>
          <w:tcPr>
            <w:tcW w:w="1900" w:type="dxa"/>
            <w:vAlign w:val="bottom"/>
            <w:tcBorders>
              <w:bottom w:val="single" w:sz="8" w:color="auto"/>
            </w:tcBorders>
          </w:tcPr>
          <w:p>
            <w:pPr>
              <w:jc w:val="center"/>
              <w:ind w:left="28"/>
              <w:spacing w:after="0" w:line="157" w:lineRule="exact"/>
              <w:rPr>
                <w:sz w:val="20"/>
                <w:szCs w:val="20"/>
                <w:color w:val="auto"/>
              </w:rPr>
            </w:pPr>
            <w:r>
              <w:rPr>
                <w:rFonts w:ascii="Arial" w:cs="Arial" w:eastAsia="Arial" w:hAnsi="Arial"/>
                <w:sz w:val="14"/>
                <w:szCs w:val="14"/>
                <w:color w:val="auto"/>
              </w:rPr>
              <w:t>677,818</w:t>
            </w:r>
          </w:p>
        </w:tc>
        <w:tc>
          <w:tcPr>
            <w:tcW w:w="24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12,315</w:t>
            </w:r>
          </w:p>
        </w:tc>
        <w:tc>
          <w:tcPr>
            <w:tcW w:w="2420" w:type="dxa"/>
            <w:vAlign w:val="bottom"/>
            <w:tcBorders>
              <w:bottom w:val="single" w:sz="8" w:color="auto"/>
            </w:tcBorders>
          </w:tcPr>
          <w:p>
            <w:pPr>
              <w:jc w:val="center"/>
              <w:ind w:left="68"/>
              <w:spacing w:after="0" w:line="157" w:lineRule="exact"/>
              <w:rPr>
                <w:sz w:val="20"/>
                <w:szCs w:val="20"/>
                <w:color w:val="auto"/>
              </w:rPr>
            </w:pPr>
            <w:r>
              <w:rPr>
                <w:rFonts w:ascii="Arial" w:cs="Arial" w:eastAsia="Arial" w:hAnsi="Arial"/>
                <w:sz w:val="14"/>
                <w:szCs w:val="14"/>
                <w:color w:val="auto"/>
              </w:rPr>
              <w:t>12,315</w:t>
            </w:r>
          </w:p>
        </w:tc>
      </w:tr>
      <w:tr>
        <w:trPr>
          <w:trHeight w:val="160"/>
        </w:trPr>
        <w:tc>
          <w:tcPr>
            <w:tcW w:w="4620" w:type="dxa"/>
            <w:vAlign w:val="bottom"/>
            <w:shd w:val="clear" w:color="auto" w:fill="CCCCCC"/>
          </w:tcPr>
          <w:p>
            <w:pPr>
              <w:ind w:left="60"/>
              <w:spacing w:after="0"/>
              <w:rPr>
                <w:sz w:val="20"/>
                <w:szCs w:val="20"/>
                <w:color w:val="auto"/>
              </w:rPr>
            </w:pPr>
            <w:r>
              <w:rPr>
                <w:rFonts w:ascii="Arial" w:cs="Arial" w:eastAsia="Arial" w:hAnsi="Arial"/>
                <w:sz w:val="14"/>
                <w:szCs w:val="14"/>
                <w:color w:val="auto"/>
              </w:rPr>
              <w:t>Michael K. Tucker</w:t>
            </w:r>
          </w:p>
        </w:tc>
        <w:tc>
          <w:tcPr>
            <w:tcW w:w="1900" w:type="dxa"/>
            <w:vAlign w:val="bottom"/>
            <w:shd w:val="clear" w:color="auto" w:fill="CCCCCC"/>
          </w:tcPr>
          <w:p>
            <w:pPr>
              <w:spacing w:after="0"/>
              <w:rPr>
                <w:sz w:val="13"/>
                <w:szCs w:val="13"/>
                <w:color w:val="auto"/>
              </w:rPr>
            </w:pPr>
          </w:p>
        </w:tc>
        <w:tc>
          <w:tcPr>
            <w:tcW w:w="2480" w:type="dxa"/>
            <w:vAlign w:val="bottom"/>
            <w:shd w:val="clear" w:color="auto" w:fill="CCCCCC"/>
          </w:tcPr>
          <w:p>
            <w:pPr>
              <w:spacing w:after="0"/>
              <w:rPr>
                <w:sz w:val="13"/>
                <w:szCs w:val="13"/>
                <w:color w:val="auto"/>
              </w:rPr>
            </w:pPr>
          </w:p>
        </w:tc>
        <w:tc>
          <w:tcPr>
            <w:tcW w:w="2420" w:type="dxa"/>
            <w:vAlign w:val="bottom"/>
            <w:shd w:val="clear" w:color="auto" w:fill="CCCCCC"/>
          </w:tcPr>
          <w:p>
            <w:pPr>
              <w:spacing w:after="0"/>
              <w:rPr>
                <w:sz w:val="13"/>
                <w:szCs w:val="13"/>
                <w:color w:val="auto"/>
              </w:rPr>
            </w:pPr>
          </w:p>
        </w:tc>
      </w:tr>
      <w:tr>
        <w:trPr>
          <w:trHeight w:val="157"/>
        </w:trPr>
        <w:tc>
          <w:tcPr>
            <w:tcW w:w="4620" w:type="dxa"/>
            <w:vAlign w:val="bottom"/>
            <w:tcBorders>
              <w:bottom w:val="single" w:sz="8" w:color="auto"/>
            </w:tcBorders>
            <w:shd w:val="clear" w:color="auto" w:fill="CCCCCC"/>
          </w:tcPr>
          <w:p>
            <w:pPr>
              <w:ind w:left="240"/>
              <w:spacing w:after="0" w:line="157" w:lineRule="exact"/>
              <w:rPr>
                <w:sz w:val="20"/>
                <w:szCs w:val="20"/>
                <w:color w:val="auto"/>
              </w:rPr>
            </w:pPr>
            <w:r>
              <w:rPr>
                <w:rFonts w:ascii="Arial" w:cs="Arial" w:eastAsia="Arial" w:hAnsi="Arial"/>
                <w:sz w:val="14"/>
                <w:szCs w:val="14"/>
                <w:color w:val="auto"/>
              </w:rPr>
              <w:t>EVP, General Counsel and Chief Compliance Officer</w:t>
            </w:r>
          </w:p>
        </w:tc>
        <w:tc>
          <w:tcPr>
            <w:tcW w:w="1900" w:type="dxa"/>
            <w:vAlign w:val="bottom"/>
            <w:tcBorders>
              <w:bottom w:val="single" w:sz="8" w:color="auto"/>
            </w:tcBorders>
            <w:shd w:val="clear" w:color="auto" w:fill="CCCCCC"/>
          </w:tcPr>
          <w:p>
            <w:pPr>
              <w:jc w:val="center"/>
              <w:ind w:left="28"/>
              <w:spacing w:after="0" w:line="157" w:lineRule="exact"/>
              <w:rPr>
                <w:sz w:val="20"/>
                <w:szCs w:val="20"/>
                <w:color w:val="auto"/>
              </w:rPr>
            </w:pPr>
            <w:r>
              <w:rPr>
                <w:rFonts w:ascii="Arial" w:cs="Arial" w:eastAsia="Arial" w:hAnsi="Arial"/>
                <w:sz w:val="14"/>
                <w:szCs w:val="14"/>
                <w:color w:val="auto"/>
              </w:rPr>
              <w:t>282,438</w:t>
            </w:r>
          </w:p>
        </w:tc>
        <w:tc>
          <w:tcPr>
            <w:tcW w:w="2480" w:type="dxa"/>
            <w:vAlign w:val="bottom"/>
            <w:tcBorders>
              <w:bottom w:val="single" w:sz="8" w:color="auto"/>
            </w:tcBorders>
            <w:shd w:val="clear" w:color="auto" w:fill="CCCCCC"/>
          </w:tcPr>
          <w:p>
            <w:pPr>
              <w:jc w:val="center"/>
              <w:spacing w:after="0" w:line="157" w:lineRule="exact"/>
              <w:rPr>
                <w:sz w:val="20"/>
                <w:szCs w:val="20"/>
                <w:color w:val="auto"/>
              </w:rPr>
            </w:pPr>
            <w:r>
              <w:rPr>
                <w:rFonts w:ascii="Arial" w:cs="Arial" w:eastAsia="Arial" w:hAnsi="Arial"/>
                <w:sz w:val="14"/>
                <w:szCs w:val="14"/>
                <w:color w:val="auto"/>
              </w:rPr>
              <w:t>7,184</w:t>
            </w:r>
          </w:p>
        </w:tc>
        <w:tc>
          <w:tcPr>
            <w:tcW w:w="2420" w:type="dxa"/>
            <w:vAlign w:val="bottom"/>
            <w:tcBorders>
              <w:bottom w:val="single" w:sz="8" w:color="auto"/>
            </w:tcBorders>
            <w:shd w:val="clear" w:color="auto" w:fill="CCCCCC"/>
          </w:tcPr>
          <w:p>
            <w:pPr>
              <w:jc w:val="center"/>
              <w:ind w:left="68"/>
              <w:spacing w:after="0" w:line="157" w:lineRule="exact"/>
              <w:rPr>
                <w:sz w:val="20"/>
                <w:szCs w:val="20"/>
                <w:color w:val="auto"/>
              </w:rPr>
            </w:pPr>
            <w:r>
              <w:rPr>
                <w:rFonts w:ascii="Arial" w:cs="Arial" w:eastAsia="Arial" w:hAnsi="Arial"/>
                <w:sz w:val="14"/>
                <w:szCs w:val="14"/>
                <w:color w:val="auto"/>
              </w:rPr>
              <w:t>3,079</w:t>
            </w:r>
          </w:p>
        </w:tc>
      </w:tr>
      <w:tr>
        <w:trPr>
          <w:trHeight w:val="156"/>
        </w:trPr>
        <w:tc>
          <w:tcPr>
            <w:tcW w:w="46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Executive Group</w:t>
            </w:r>
          </w:p>
        </w:tc>
        <w:tc>
          <w:tcPr>
            <w:tcW w:w="190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rPr>
              <w:t>5,812,566</w:t>
            </w:r>
          </w:p>
        </w:tc>
        <w:tc>
          <w:tcPr>
            <w:tcW w:w="24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88,105</w:t>
            </w:r>
          </w:p>
        </w:tc>
        <w:tc>
          <w:tcPr>
            <w:tcW w:w="2420" w:type="dxa"/>
            <w:vAlign w:val="bottom"/>
            <w:tcBorders>
              <w:bottom w:val="single" w:sz="8" w:color="auto"/>
            </w:tcBorders>
          </w:tcPr>
          <w:p>
            <w:pPr>
              <w:jc w:val="center"/>
              <w:ind w:left="68"/>
              <w:spacing w:after="0" w:line="155" w:lineRule="exact"/>
              <w:rPr>
                <w:sz w:val="20"/>
                <w:szCs w:val="20"/>
                <w:color w:val="auto"/>
              </w:rPr>
            </w:pPr>
            <w:r>
              <w:rPr>
                <w:rFonts w:ascii="Arial" w:cs="Arial" w:eastAsia="Arial" w:hAnsi="Arial"/>
                <w:sz w:val="14"/>
                <w:szCs w:val="14"/>
                <w:color w:val="auto"/>
              </w:rPr>
              <w:t>100,215</w:t>
            </w:r>
          </w:p>
        </w:tc>
      </w:tr>
      <w:tr>
        <w:trPr>
          <w:trHeight w:val="156"/>
        </w:trPr>
        <w:tc>
          <w:tcPr>
            <w:tcW w:w="462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Non-Executive Directors Group</w:t>
            </w:r>
          </w:p>
        </w:tc>
        <w:tc>
          <w:tcPr>
            <w:tcW w:w="1900" w:type="dxa"/>
            <w:vAlign w:val="bottom"/>
            <w:tcBorders>
              <w:bottom w:val="single" w:sz="8" w:color="auto"/>
            </w:tcBorders>
            <w:shd w:val="clear" w:color="auto" w:fill="CCCCCC"/>
          </w:tcPr>
          <w:p>
            <w:pPr>
              <w:jc w:val="center"/>
              <w:ind w:left="28"/>
              <w:spacing w:after="0" w:line="155" w:lineRule="exact"/>
              <w:rPr>
                <w:sz w:val="20"/>
                <w:szCs w:val="20"/>
                <w:color w:val="auto"/>
              </w:rPr>
            </w:pPr>
            <w:r>
              <w:rPr>
                <w:rFonts w:ascii="Arial" w:cs="Arial" w:eastAsia="Arial" w:hAnsi="Arial"/>
                <w:sz w:val="14"/>
                <w:szCs w:val="14"/>
                <w:color w:val="auto"/>
              </w:rPr>
              <w:t>935,075</w:t>
            </w:r>
          </w:p>
        </w:tc>
        <w:tc>
          <w:tcPr>
            <w:tcW w:w="2480" w:type="dxa"/>
            <w:vAlign w:val="bottom"/>
            <w:tcBorders>
              <w:bottom w:val="single" w:sz="8" w:color="auto"/>
            </w:tcBorders>
            <w:shd w:val="clear" w:color="auto" w:fill="CCCCCC"/>
          </w:tcPr>
          <w:p>
            <w:pPr>
              <w:jc w:val="center"/>
              <w:spacing w:after="0" w:line="155" w:lineRule="exact"/>
              <w:rPr>
                <w:sz w:val="20"/>
                <w:szCs w:val="20"/>
                <w:color w:val="auto"/>
              </w:rPr>
            </w:pPr>
            <w:r>
              <w:rPr>
                <w:rFonts w:ascii="Arial" w:cs="Arial" w:eastAsia="Arial" w:hAnsi="Arial"/>
                <w:sz w:val="14"/>
                <w:szCs w:val="14"/>
                <w:color w:val="auto"/>
              </w:rPr>
              <w:t>33, 978</w:t>
            </w:r>
          </w:p>
        </w:tc>
        <w:tc>
          <w:tcPr>
            <w:tcW w:w="2420" w:type="dxa"/>
            <w:vAlign w:val="bottom"/>
            <w:tcBorders>
              <w:bottom w:val="single" w:sz="8" w:color="auto"/>
            </w:tcBorders>
            <w:shd w:val="clear" w:color="auto" w:fill="CCCCCC"/>
          </w:tcPr>
          <w:p>
            <w:pPr>
              <w:jc w:val="center"/>
              <w:ind w:left="68"/>
              <w:spacing w:after="0" w:line="155" w:lineRule="exact"/>
              <w:rPr>
                <w:sz w:val="20"/>
                <w:szCs w:val="20"/>
                <w:color w:val="auto"/>
              </w:rPr>
            </w:pPr>
            <w:r>
              <w:rPr>
                <w:rFonts w:ascii="Arial" w:cs="Arial" w:eastAsia="Arial" w:hAnsi="Arial"/>
                <w:sz w:val="14"/>
                <w:szCs w:val="14"/>
                <w:color w:val="auto"/>
              </w:rPr>
              <w:t>—</w:t>
            </w:r>
          </w:p>
        </w:tc>
      </w:tr>
      <w:tr>
        <w:trPr>
          <w:trHeight w:val="160"/>
        </w:trPr>
        <w:tc>
          <w:tcPr>
            <w:tcW w:w="4620" w:type="dxa"/>
            <w:vAlign w:val="bottom"/>
          </w:tcPr>
          <w:p>
            <w:pPr>
              <w:ind w:left="60"/>
              <w:spacing w:after="0"/>
              <w:rPr>
                <w:sz w:val="20"/>
                <w:szCs w:val="20"/>
                <w:color w:val="auto"/>
              </w:rPr>
            </w:pPr>
            <w:r>
              <w:rPr>
                <w:rFonts w:ascii="Arial" w:cs="Arial" w:eastAsia="Arial" w:hAnsi="Arial"/>
                <w:sz w:val="14"/>
                <w:szCs w:val="14"/>
                <w:color w:val="auto"/>
              </w:rPr>
              <w:t>All Employees Group (including all current officers who are not</w:t>
            </w:r>
          </w:p>
        </w:tc>
        <w:tc>
          <w:tcPr>
            <w:tcW w:w="19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64"/>
        </w:trPr>
        <w:tc>
          <w:tcPr>
            <w:tcW w:w="462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executive officers, as a group) (4)</w:t>
            </w:r>
          </w:p>
        </w:tc>
        <w:tc>
          <w:tcPr>
            <w:tcW w:w="1900" w:type="dxa"/>
            <w:vAlign w:val="bottom"/>
            <w:tcBorders>
              <w:bottom w:val="single" w:sz="8" w:color="auto"/>
            </w:tcBorders>
          </w:tcPr>
          <w:p>
            <w:pPr>
              <w:jc w:val="center"/>
              <w:ind w:left="28"/>
              <w:spacing w:after="0" w:line="157" w:lineRule="exact"/>
              <w:rPr>
                <w:sz w:val="20"/>
                <w:szCs w:val="20"/>
                <w:color w:val="auto"/>
              </w:rPr>
            </w:pPr>
            <w:r>
              <w:rPr>
                <w:rFonts w:ascii="Arial" w:cs="Arial" w:eastAsia="Arial" w:hAnsi="Arial"/>
                <w:sz w:val="14"/>
                <w:szCs w:val="14"/>
                <w:color w:val="auto"/>
              </w:rPr>
              <w:t>13,704,327</w:t>
            </w:r>
          </w:p>
        </w:tc>
        <w:tc>
          <w:tcPr>
            <w:tcW w:w="24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321,628</w:t>
            </w:r>
          </w:p>
        </w:tc>
        <w:tc>
          <w:tcPr>
            <w:tcW w:w="2420" w:type="dxa"/>
            <w:vAlign w:val="bottom"/>
            <w:tcBorders>
              <w:bottom w:val="single" w:sz="8" w:color="auto"/>
            </w:tcBorders>
          </w:tcPr>
          <w:p>
            <w:pPr>
              <w:jc w:val="center"/>
              <w:ind w:left="68"/>
              <w:spacing w:after="0" w:line="157" w:lineRule="exact"/>
              <w:rPr>
                <w:sz w:val="20"/>
                <w:szCs w:val="20"/>
                <w:color w:val="auto"/>
              </w:rPr>
            </w:pPr>
            <w:r>
              <w:rPr>
                <w:rFonts w:ascii="Arial" w:cs="Arial" w:eastAsia="Arial" w:hAnsi="Arial"/>
                <w:sz w:val="14"/>
                <w:szCs w:val="14"/>
                <w:color w:val="auto"/>
              </w:rPr>
              <w:t>176,349</w:t>
            </w:r>
          </w:p>
        </w:tc>
      </w:tr>
    </w:tbl>
    <w:p>
      <w:pPr>
        <w:spacing w:after="0" w:line="72" w:lineRule="exact"/>
        <w:rPr>
          <w:sz w:val="20"/>
          <w:szCs w:val="20"/>
          <w:color w:val="auto"/>
        </w:rPr>
      </w:pPr>
    </w:p>
    <w:p>
      <w:pPr>
        <w:ind w:left="460" w:hanging="398"/>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the Company’s closing stock price on February 13, 2019 of $27.52.</w:t>
      </w:r>
    </w:p>
    <w:p>
      <w:pPr>
        <w:spacing w:after="0" w:line="163" w:lineRule="exact"/>
        <w:rPr>
          <w:rFonts w:ascii="Arial" w:cs="Arial" w:eastAsia="Arial" w:hAnsi="Arial"/>
          <w:sz w:val="14"/>
          <w:szCs w:val="14"/>
          <w:color w:val="auto"/>
        </w:rPr>
      </w:pPr>
    </w:p>
    <w:p>
      <w:pPr>
        <w:ind w:left="460" w:hanging="398"/>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Inclusive of all awards granted in fiscal 2018. No options were granted in fiscal 2018.</w:t>
      </w:r>
    </w:p>
    <w:p>
      <w:pPr>
        <w:spacing w:after="0" w:line="163" w:lineRule="exact"/>
        <w:rPr>
          <w:rFonts w:ascii="Arial" w:cs="Arial" w:eastAsia="Arial" w:hAnsi="Arial"/>
          <w:sz w:val="14"/>
          <w:szCs w:val="14"/>
          <w:color w:val="auto"/>
        </w:rPr>
      </w:pPr>
    </w:p>
    <w:p>
      <w:pPr>
        <w:jc w:val="both"/>
        <w:ind w:left="460" w:hanging="398"/>
        <w:spacing w:after="0" w:line="247"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Assumes achievement of applicable performance condition at target performance level, which would be based on achievement of cumulative Adjusted EBITDA of $2,434 million over a three-year performance period and continued service. The maximum and threshold number of units achievable under the performance-based restricted stock unit awards based on Company performance is 200% and 50%, respectively. At maximum, the number of units would be as follows: Mr. De Shon, 135,468 units, Mr. Ferraro, 24,630 units, Mr. Servodidio, 24,630 units, Mr. Tucker, 6,158 units, the Executive Group, 200,430 units and All Employees Group, 352,698 units.</w:t>
      </w:r>
    </w:p>
    <w:p>
      <w:pPr>
        <w:spacing w:after="0" w:line="147" w:lineRule="exact"/>
        <w:rPr>
          <w:rFonts w:ascii="Arial" w:cs="Arial" w:eastAsia="Arial" w:hAnsi="Arial"/>
          <w:sz w:val="14"/>
          <w:szCs w:val="14"/>
          <w:color w:val="auto"/>
        </w:rPr>
      </w:pPr>
    </w:p>
    <w:p>
      <w:pPr>
        <w:ind w:left="460" w:hanging="398"/>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Excludes 33,978 RSUs applicable to Non-Executive Directors.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number of options received since the initial adoption of the Plan by the following persons.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5860" w:type="dxa"/>
            <w:vAlign w:val="bottom"/>
          </w:tcPr>
          <w:p>
            <w:pPr>
              <w:jc w:val="right"/>
              <w:ind w:right="786"/>
              <w:spacing w:after="0"/>
              <w:rPr>
                <w:sz w:val="20"/>
                <w:szCs w:val="20"/>
                <w:color w:val="auto"/>
              </w:rPr>
            </w:pPr>
            <w:r>
              <w:rPr>
                <w:rFonts w:ascii="Arial" w:cs="Arial" w:eastAsia="Arial" w:hAnsi="Arial"/>
                <w:sz w:val="14"/>
                <w:szCs w:val="14"/>
                <w:b w:val="1"/>
                <w:bCs w:val="1"/>
                <w:color w:val="auto"/>
              </w:rPr>
              <w:t>Options</w:t>
            </w:r>
          </w:p>
        </w:tc>
      </w:tr>
      <w:tr>
        <w:trPr>
          <w:trHeight w:val="182"/>
        </w:trPr>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and Position (1)</w:t>
            </w:r>
          </w:p>
        </w:tc>
        <w:tc>
          <w:tcPr>
            <w:tcW w:w="5860" w:type="dxa"/>
            <w:vAlign w:val="bottom"/>
            <w:tcBorders>
              <w:bottom w:val="single" w:sz="8" w:color="auto"/>
            </w:tcBorders>
          </w:tcPr>
          <w:p>
            <w:pPr>
              <w:jc w:val="center"/>
              <w:ind w:left="3526"/>
              <w:spacing w:after="0"/>
              <w:rPr>
                <w:sz w:val="20"/>
                <w:szCs w:val="20"/>
                <w:color w:val="auto"/>
              </w:rPr>
            </w:pPr>
            <w:r>
              <w:rPr>
                <w:rFonts w:ascii="Arial" w:cs="Arial" w:eastAsia="Arial" w:hAnsi="Arial"/>
                <w:sz w:val="14"/>
                <w:szCs w:val="14"/>
                <w:b w:val="1"/>
                <w:bCs w:val="1"/>
                <w:color w:val="auto"/>
              </w:rPr>
              <w:t>(#)</w:t>
            </w:r>
          </w:p>
        </w:tc>
      </w:tr>
      <w:tr>
        <w:trPr>
          <w:trHeight w:val="167"/>
        </w:trPr>
        <w:tc>
          <w:tcPr>
            <w:tcW w:w="5560" w:type="dxa"/>
            <w:vAlign w:val="bottom"/>
            <w:shd w:val="clear" w:color="auto" w:fill="CCCCCC"/>
          </w:tcPr>
          <w:p>
            <w:pPr>
              <w:ind w:left="60"/>
              <w:spacing w:after="0"/>
              <w:rPr>
                <w:sz w:val="20"/>
                <w:szCs w:val="20"/>
                <w:color w:val="auto"/>
              </w:rPr>
            </w:pPr>
            <w:r>
              <w:rPr>
                <w:rFonts w:ascii="Arial" w:cs="Arial" w:eastAsia="Arial" w:hAnsi="Arial"/>
                <w:sz w:val="14"/>
                <w:szCs w:val="14"/>
                <w:color w:val="auto"/>
              </w:rPr>
              <w:t>Larry D. De Shon</w:t>
            </w:r>
          </w:p>
        </w:tc>
        <w:tc>
          <w:tcPr>
            <w:tcW w:w="5860" w:type="dxa"/>
            <w:vAlign w:val="bottom"/>
            <w:shd w:val="clear" w:color="auto" w:fill="CCCCCC"/>
          </w:tcPr>
          <w:p>
            <w:pPr>
              <w:spacing w:after="0"/>
              <w:rPr>
                <w:sz w:val="14"/>
                <w:szCs w:val="14"/>
                <w:color w:val="auto"/>
              </w:rPr>
            </w:pPr>
          </w:p>
        </w:tc>
      </w:tr>
      <w:tr>
        <w:trPr>
          <w:trHeight w:val="157"/>
        </w:trPr>
        <w:tc>
          <w:tcPr>
            <w:tcW w:w="5560" w:type="dxa"/>
            <w:vAlign w:val="bottom"/>
            <w:tcBorders>
              <w:bottom w:val="single" w:sz="8" w:color="auto"/>
            </w:tcBorders>
            <w:shd w:val="clear" w:color="auto" w:fill="CCCCCC"/>
          </w:tcPr>
          <w:p>
            <w:pPr>
              <w:ind w:left="240"/>
              <w:spacing w:after="0" w:line="157" w:lineRule="exact"/>
              <w:rPr>
                <w:sz w:val="20"/>
                <w:szCs w:val="20"/>
                <w:color w:val="auto"/>
              </w:rPr>
            </w:pPr>
            <w:r>
              <w:rPr>
                <w:rFonts w:ascii="Arial" w:cs="Arial" w:eastAsia="Arial" w:hAnsi="Arial"/>
                <w:sz w:val="14"/>
                <w:szCs w:val="14"/>
                <w:color w:val="auto"/>
              </w:rPr>
              <w:t>Chief Executive Officer</w:t>
            </w:r>
          </w:p>
        </w:tc>
        <w:tc>
          <w:tcPr>
            <w:tcW w:w="5860" w:type="dxa"/>
            <w:vAlign w:val="bottom"/>
            <w:tcBorders>
              <w:bottom w:val="single" w:sz="8" w:color="auto"/>
            </w:tcBorders>
            <w:shd w:val="clear" w:color="auto" w:fill="CCCCCC"/>
          </w:tcPr>
          <w:p>
            <w:pPr>
              <w:jc w:val="center"/>
              <w:ind w:left="3506"/>
              <w:spacing w:after="0" w:line="157" w:lineRule="exact"/>
              <w:rPr>
                <w:sz w:val="20"/>
                <w:szCs w:val="20"/>
                <w:color w:val="auto"/>
              </w:rPr>
            </w:pPr>
            <w:r>
              <w:rPr>
                <w:rFonts w:ascii="Arial" w:cs="Arial" w:eastAsia="Arial" w:hAnsi="Arial"/>
                <w:sz w:val="14"/>
                <w:szCs w:val="14"/>
                <w:color w:val="auto"/>
              </w:rPr>
              <w:t>250,000</w:t>
            </w:r>
          </w:p>
        </w:tc>
      </w:tr>
      <w:tr>
        <w:trPr>
          <w:trHeight w:val="160"/>
        </w:trPr>
        <w:tc>
          <w:tcPr>
            <w:tcW w:w="5560" w:type="dxa"/>
            <w:vAlign w:val="bottom"/>
          </w:tcPr>
          <w:p>
            <w:pPr>
              <w:ind w:left="60"/>
              <w:spacing w:after="0"/>
              <w:rPr>
                <w:sz w:val="20"/>
                <w:szCs w:val="20"/>
                <w:color w:val="auto"/>
              </w:rPr>
            </w:pPr>
            <w:r>
              <w:rPr>
                <w:rFonts w:ascii="Arial" w:cs="Arial" w:eastAsia="Arial" w:hAnsi="Arial"/>
                <w:sz w:val="14"/>
                <w:szCs w:val="14"/>
                <w:color w:val="auto"/>
              </w:rPr>
              <w:t>Martyn Smith</w:t>
            </w:r>
          </w:p>
        </w:tc>
        <w:tc>
          <w:tcPr>
            <w:tcW w:w="5860" w:type="dxa"/>
            <w:vAlign w:val="bottom"/>
          </w:tcPr>
          <w:p>
            <w:pPr>
              <w:spacing w:after="0"/>
              <w:rPr>
                <w:sz w:val="13"/>
                <w:szCs w:val="13"/>
                <w:color w:val="auto"/>
              </w:rPr>
            </w:pPr>
          </w:p>
        </w:tc>
      </w:tr>
      <w:tr>
        <w:trPr>
          <w:trHeight w:val="157"/>
        </w:trPr>
        <w:tc>
          <w:tcPr>
            <w:tcW w:w="55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Former Interim CFO</w:t>
            </w:r>
          </w:p>
        </w:tc>
        <w:tc>
          <w:tcPr>
            <w:tcW w:w="5860" w:type="dxa"/>
            <w:vAlign w:val="bottom"/>
            <w:tcBorders>
              <w:bottom w:val="single" w:sz="8" w:color="auto"/>
            </w:tcBorders>
          </w:tcPr>
          <w:p>
            <w:pPr>
              <w:jc w:val="center"/>
              <w:ind w:left="3526"/>
              <w:spacing w:after="0" w:line="157" w:lineRule="exact"/>
              <w:rPr>
                <w:sz w:val="20"/>
                <w:szCs w:val="20"/>
                <w:color w:val="auto"/>
              </w:rPr>
            </w:pPr>
            <w:r>
              <w:rPr>
                <w:rFonts w:ascii="Arial" w:cs="Arial" w:eastAsia="Arial" w:hAnsi="Arial"/>
                <w:sz w:val="14"/>
                <w:szCs w:val="14"/>
                <w:color w:val="auto"/>
                <w:w w:val="99"/>
              </w:rPr>
              <w:t>—</w:t>
            </w:r>
          </w:p>
        </w:tc>
      </w:tr>
      <w:tr>
        <w:trPr>
          <w:trHeight w:val="160"/>
        </w:trPr>
        <w:tc>
          <w:tcPr>
            <w:tcW w:w="5560" w:type="dxa"/>
            <w:vAlign w:val="bottom"/>
            <w:shd w:val="clear" w:color="auto" w:fill="CCCCCC"/>
          </w:tcPr>
          <w:p>
            <w:pPr>
              <w:ind w:left="60"/>
              <w:spacing w:after="0"/>
              <w:rPr>
                <w:sz w:val="20"/>
                <w:szCs w:val="20"/>
                <w:color w:val="auto"/>
              </w:rPr>
            </w:pPr>
            <w:r>
              <w:rPr>
                <w:rFonts w:ascii="Arial" w:cs="Arial" w:eastAsia="Arial" w:hAnsi="Arial"/>
                <w:sz w:val="14"/>
                <w:szCs w:val="14"/>
                <w:color w:val="auto"/>
              </w:rPr>
              <w:t>Joseph A. Ferraro</w:t>
            </w:r>
          </w:p>
        </w:tc>
        <w:tc>
          <w:tcPr>
            <w:tcW w:w="5860" w:type="dxa"/>
            <w:vAlign w:val="bottom"/>
            <w:shd w:val="clear" w:color="auto" w:fill="CCCCCC"/>
          </w:tcPr>
          <w:p>
            <w:pPr>
              <w:spacing w:after="0"/>
              <w:rPr>
                <w:sz w:val="13"/>
                <w:szCs w:val="13"/>
                <w:color w:val="auto"/>
              </w:rPr>
            </w:pPr>
          </w:p>
        </w:tc>
      </w:tr>
      <w:tr>
        <w:trPr>
          <w:trHeight w:val="157"/>
        </w:trPr>
        <w:tc>
          <w:tcPr>
            <w:tcW w:w="5560" w:type="dxa"/>
            <w:vAlign w:val="bottom"/>
            <w:tcBorders>
              <w:bottom w:val="single" w:sz="8" w:color="auto"/>
            </w:tcBorders>
            <w:shd w:val="clear" w:color="auto" w:fill="CCCCCC"/>
          </w:tcPr>
          <w:p>
            <w:pPr>
              <w:ind w:left="240"/>
              <w:spacing w:after="0" w:line="157" w:lineRule="exact"/>
              <w:rPr>
                <w:sz w:val="20"/>
                <w:szCs w:val="20"/>
                <w:color w:val="auto"/>
              </w:rPr>
            </w:pPr>
            <w:r>
              <w:rPr>
                <w:rFonts w:ascii="Arial" w:cs="Arial" w:eastAsia="Arial" w:hAnsi="Arial"/>
                <w:sz w:val="14"/>
                <w:szCs w:val="14"/>
                <w:color w:val="auto"/>
              </w:rPr>
              <w:t>President, Americas</w:t>
            </w:r>
          </w:p>
        </w:tc>
        <w:tc>
          <w:tcPr>
            <w:tcW w:w="5860" w:type="dxa"/>
            <w:vAlign w:val="bottom"/>
            <w:tcBorders>
              <w:bottom w:val="single" w:sz="8" w:color="auto"/>
            </w:tcBorders>
            <w:shd w:val="clear" w:color="auto" w:fill="CCCCCC"/>
          </w:tcPr>
          <w:p>
            <w:pPr>
              <w:jc w:val="center"/>
              <w:ind w:left="3506"/>
              <w:spacing w:after="0" w:line="157" w:lineRule="exact"/>
              <w:rPr>
                <w:sz w:val="20"/>
                <w:szCs w:val="20"/>
                <w:color w:val="auto"/>
              </w:rPr>
            </w:pPr>
            <w:r>
              <w:rPr>
                <w:rFonts w:ascii="Arial" w:cs="Arial" w:eastAsia="Arial" w:hAnsi="Arial"/>
                <w:sz w:val="14"/>
                <w:szCs w:val="14"/>
                <w:color w:val="auto"/>
              </w:rPr>
              <w:t>36,000</w:t>
            </w:r>
          </w:p>
        </w:tc>
      </w:tr>
      <w:tr>
        <w:trPr>
          <w:trHeight w:val="160"/>
        </w:trPr>
        <w:tc>
          <w:tcPr>
            <w:tcW w:w="5560" w:type="dxa"/>
            <w:vAlign w:val="bottom"/>
          </w:tcPr>
          <w:p>
            <w:pPr>
              <w:ind w:left="60"/>
              <w:spacing w:after="0"/>
              <w:rPr>
                <w:sz w:val="20"/>
                <w:szCs w:val="20"/>
                <w:color w:val="auto"/>
              </w:rPr>
            </w:pPr>
            <w:r>
              <w:rPr>
                <w:rFonts w:ascii="Arial" w:cs="Arial" w:eastAsia="Arial" w:hAnsi="Arial"/>
                <w:sz w:val="14"/>
                <w:szCs w:val="14"/>
                <w:color w:val="auto"/>
              </w:rPr>
              <w:t>Mark J Servodidio</w:t>
            </w:r>
          </w:p>
        </w:tc>
        <w:tc>
          <w:tcPr>
            <w:tcW w:w="5860" w:type="dxa"/>
            <w:vAlign w:val="bottom"/>
          </w:tcPr>
          <w:p>
            <w:pPr>
              <w:spacing w:after="0"/>
              <w:rPr>
                <w:sz w:val="13"/>
                <w:szCs w:val="13"/>
                <w:color w:val="auto"/>
              </w:rPr>
            </w:pPr>
          </w:p>
        </w:tc>
      </w:tr>
      <w:tr>
        <w:trPr>
          <w:trHeight w:val="157"/>
        </w:trPr>
        <w:tc>
          <w:tcPr>
            <w:tcW w:w="55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President, International</w:t>
            </w:r>
          </w:p>
        </w:tc>
        <w:tc>
          <w:tcPr>
            <w:tcW w:w="5860" w:type="dxa"/>
            <w:vAlign w:val="bottom"/>
            <w:tcBorders>
              <w:bottom w:val="single" w:sz="8" w:color="auto"/>
            </w:tcBorders>
          </w:tcPr>
          <w:p>
            <w:pPr>
              <w:jc w:val="center"/>
              <w:ind w:left="3506"/>
              <w:spacing w:after="0" w:line="157" w:lineRule="exact"/>
              <w:rPr>
                <w:sz w:val="20"/>
                <w:szCs w:val="20"/>
                <w:color w:val="auto"/>
              </w:rPr>
            </w:pPr>
            <w:r>
              <w:rPr>
                <w:rFonts w:ascii="Arial" w:cs="Arial" w:eastAsia="Arial" w:hAnsi="Arial"/>
                <w:sz w:val="14"/>
                <w:szCs w:val="14"/>
                <w:color w:val="auto"/>
              </w:rPr>
              <w:t>187,500</w:t>
            </w:r>
          </w:p>
        </w:tc>
      </w:tr>
      <w:tr>
        <w:trPr>
          <w:trHeight w:val="160"/>
        </w:trPr>
        <w:tc>
          <w:tcPr>
            <w:tcW w:w="5560" w:type="dxa"/>
            <w:vAlign w:val="bottom"/>
            <w:shd w:val="clear" w:color="auto" w:fill="CCCCCC"/>
          </w:tcPr>
          <w:p>
            <w:pPr>
              <w:ind w:left="60"/>
              <w:spacing w:after="0"/>
              <w:rPr>
                <w:sz w:val="20"/>
                <w:szCs w:val="20"/>
                <w:color w:val="auto"/>
              </w:rPr>
            </w:pPr>
            <w:r>
              <w:rPr>
                <w:rFonts w:ascii="Arial" w:cs="Arial" w:eastAsia="Arial" w:hAnsi="Arial"/>
                <w:sz w:val="14"/>
                <w:szCs w:val="14"/>
                <w:color w:val="auto"/>
              </w:rPr>
              <w:t>Michael K. Tucker</w:t>
            </w:r>
          </w:p>
        </w:tc>
        <w:tc>
          <w:tcPr>
            <w:tcW w:w="5860" w:type="dxa"/>
            <w:vAlign w:val="bottom"/>
            <w:shd w:val="clear" w:color="auto" w:fill="CCCCCC"/>
          </w:tcPr>
          <w:p>
            <w:pPr>
              <w:spacing w:after="0"/>
              <w:rPr>
                <w:sz w:val="13"/>
                <w:szCs w:val="13"/>
                <w:color w:val="auto"/>
              </w:rPr>
            </w:pPr>
          </w:p>
        </w:tc>
      </w:tr>
      <w:tr>
        <w:trPr>
          <w:trHeight w:val="157"/>
        </w:trPr>
        <w:tc>
          <w:tcPr>
            <w:tcW w:w="5560" w:type="dxa"/>
            <w:vAlign w:val="bottom"/>
            <w:tcBorders>
              <w:bottom w:val="single" w:sz="8" w:color="auto"/>
            </w:tcBorders>
            <w:shd w:val="clear" w:color="auto" w:fill="CCCCCC"/>
          </w:tcPr>
          <w:p>
            <w:pPr>
              <w:ind w:left="240"/>
              <w:spacing w:after="0" w:line="157" w:lineRule="exact"/>
              <w:rPr>
                <w:sz w:val="20"/>
                <w:szCs w:val="20"/>
                <w:color w:val="auto"/>
              </w:rPr>
            </w:pPr>
            <w:r>
              <w:rPr>
                <w:rFonts w:ascii="Arial" w:cs="Arial" w:eastAsia="Arial" w:hAnsi="Arial"/>
                <w:sz w:val="14"/>
                <w:szCs w:val="14"/>
                <w:color w:val="auto"/>
              </w:rPr>
              <w:t>EVP, General Counsel and Chief Compliance Officer</w:t>
            </w:r>
          </w:p>
        </w:tc>
        <w:tc>
          <w:tcPr>
            <w:tcW w:w="5860" w:type="dxa"/>
            <w:vAlign w:val="bottom"/>
            <w:tcBorders>
              <w:bottom w:val="single" w:sz="8" w:color="auto"/>
            </w:tcBorders>
            <w:shd w:val="clear" w:color="auto" w:fill="CCCCCC"/>
          </w:tcPr>
          <w:p>
            <w:pPr>
              <w:jc w:val="center"/>
              <w:ind w:left="3526"/>
              <w:spacing w:after="0" w:line="157" w:lineRule="exact"/>
              <w:rPr>
                <w:sz w:val="20"/>
                <w:szCs w:val="20"/>
                <w:color w:val="auto"/>
              </w:rPr>
            </w:pPr>
            <w:r>
              <w:rPr>
                <w:rFonts w:ascii="Arial" w:cs="Arial" w:eastAsia="Arial" w:hAnsi="Arial"/>
                <w:sz w:val="14"/>
                <w:szCs w:val="14"/>
                <w:color w:val="auto"/>
                <w:w w:val="99"/>
              </w:rPr>
              <w:t>—</w:t>
            </w:r>
          </w:p>
        </w:tc>
      </w:tr>
      <w:tr>
        <w:trPr>
          <w:trHeight w:val="156"/>
        </w:trPr>
        <w:tc>
          <w:tcPr>
            <w:tcW w:w="55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Total for all current executive officers (including named executive officers), as a group</w:t>
            </w:r>
          </w:p>
        </w:tc>
        <w:tc>
          <w:tcPr>
            <w:tcW w:w="5860" w:type="dxa"/>
            <w:vAlign w:val="bottom"/>
            <w:tcBorders>
              <w:bottom w:val="single" w:sz="8" w:color="auto"/>
            </w:tcBorders>
          </w:tcPr>
          <w:p>
            <w:pPr>
              <w:jc w:val="center"/>
              <w:ind w:left="3506"/>
              <w:spacing w:after="0" w:line="155" w:lineRule="exact"/>
              <w:rPr>
                <w:sz w:val="20"/>
                <w:szCs w:val="20"/>
                <w:color w:val="auto"/>
              </w:rPr>
            </w:pPr>
            <w:r>
              <w:rPr>
                <w:rFonts w:ascii="Arial" w:cs="Arial" w:eastAsia="Arial" w:hAnsi="Arial"/>
                <w:sz w:val="14"/>
                <w:szCs w:val="14"/>
                <w:color w:val="auto"/>
              </w:rPr>
              <w:t>508,500</w:t>
            </w:r>
          </w:p>
        </w:tc>
      </w:tr>
      <w:tr>
        <w:trPr>
          <w:trHeight w:val="156"/>
        </w:trPr>
        <w:tc>
          <w:tcPr>
            <w:tcW w:w="5560" w:type="dxa"/>
            <w:vAlign w:val="bottom"/>
            <w:tcBorders>
              <w:bottom w:val="single" w:sz="8" w:color="auto"/>
            </w:tcBorders>
            <w:shd w:val="clear" w:color="auto" w:fill="CCCCCC"/>
          </w:tcPr>
          <w:p>
            <w:pPr>
              <w:ind w:left="60"/>
              <w:spacing w:after="0" w:line="155" w:lineRule="exact"/>
              <w:rPr>
                <w:sz w:val="20"/>
                <w:szCs w:val="20"/>
                <w:color w:val="auto"/>
              </w:rPr>
            </w:pPr>
            <w:r>
              <w:rPr>
                <w:rFonts w:ascii="Arial" w:cs="Arial" w:eastAsia="Arial" w:hAnsi="Arial"/>
                <w:sz w:val="14"/>
                <w:szCs w:val="14"/>
                <w:color w:val="auto"/>
              </w:rPr>
              <w:t>Total for all current non-employee directors, as a group (2)</w:t>
            </w:r>
          </w:p>
        </w:tc>
        <w:tc>
          <w:tcPr>
            <w:tcW w:w="5860" w:type="dxa"/>
            <w:vAlign w:val="bottom"/>
            <w:tcBorders>
              <w:bottom w:val="single" w:sz="8" w:color="auto"/>
            </w:tcBorders>
            <w:shd w:val="clear" w:color="auto" w:fill="CCCCCC"/>
          </w:tcPr>
          <w:p>
            <w:pPr>
              <w:jc w:val="center"/>
              <w:ind w:left="3526"/>
              <w:spacing w:after="0" w:line="155" w:lineRule="exact"/>
              <w:rPr>
                <w:sz w:val="20"/>
                <w:szCs w:val="20"/>
                <w:color w:val="auto"/>
              </w:rPr>
            </w:pPr>
            <w:r>
              <w:rPr>
                <w:rFonts w:ascii="Arial" w:cs="Arial" w:eastAsia="Arial" w:hAnsi="Arial"/>
                <w:sz w:val="14"/>
                <w:szCs w:val="14"/>
                <w:color w:val="auto"/>
                <w:w w:val="99"/>
              </w:rPr>
              <w:t>—</w:t>
            </w:r>
          </w:p>
        </w:tc>
      </w:tr>
      <w:tr>
        <w:trPr>
          <w:trHeight w:val="163"/>
        </w:trPr>
        <w:tc>
          <w:tcPr>
            <w:tcW w:w="55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Total for all employees (including current non-executive officers), as a group (3)</w:t>
            </w:r>
          </w:p>
        </w:tc>
        <w:tc>
          <w:tcPr>
            <w:tcW w:w="5860" w:type="dxa"/>
            <w:vAlign w:val="bottom"/>
            <w:tcBorders>
              <w:bottom w:val="single" w:sz="8" w:color="auto"/>
            </w:tcBorders>
          </w:tcPr>
          <w:p>
            <w:pPr>
              <w:jc w:val="center"/>
              <w:ind w:left="3506"/>
              <w:spacing w:after="0" w:line="155" w:lineRule="exact"/>
              <w:rPr>
                <w:sz w:val="20"/>
                <w:szCs w:val="20"/>
                <w:color w:val="auto"/>
              </w:rPr>
            </w:pPr>
            <w:r>
              <w:rPr>
                <w:rFonts w:ascii="Arial" w:cs="Arial" w:eastAsia="Arial" w:hAnsi="Arial"/>
                <w:sz w:val="14"/>
                <w:szCs w:val="14"/>
                <w:color w:val="auto"/>
              </w:rPr>
              <w:t>4,172,300</w:t>
            </w:r>
          </w:p>
        </w:tc>
      </w:tr>
      <w:tr>
        <w:trPr>
          <w:trHeight w:val="392"/>
        </w:trPr>
        <w:tc>
          <w:tcPr>
            <w:tcW w:w="5560" w:type="dxa"/>
            <w:vAlign w:val="bottom"/>
          </w:tcPr>
          <w:p>
            <w:pPr>
              <w:spacing w:after="0"/>
              <w:rPr>
                <w:sz w:val="24"/>
                <w:szCs w:val="24"/>
                <w:color w:val="auto"/>
              </w:rPr>
            </w:pPr>
          </w:p>
        </w:tc>
        <w:tc>
          <w:tcPr>
            <w:tcW w:w="5860" w:type="dxa"/>
            <w:vAlign w:val="bottom"/>
          </w:tcPr>
          <w:p>
            <w:pPr>
              <w:jc w:val="right"/>
              <w:ind w:right="5506"/>
              <w:spacing w:after="0"/>
              <w:rPr>
                <w:sz w:val="20"/>
                <w:szCs w:val="20"/>
                <w:color w:val="auto"/>
              </w:rPr>
            </w:pPr>
            <w:r>
              <w:rPr>
                <w:rFonts w:ascii="Arial" w:cs="Arial" w:eastAsia="Arial" w:hAnsi="Arial"/>
                <w:sz w:val="18"/>
                <w:szCs w:val="18"/>
                <w:color w:val="auto"/>
              </w:rPr>
              <w:t>54</w:t>
            </w:r>
          </w:p>
        </w:tc>
      </w:tr>
      <w:tr>
        <w:trPr>
          <w:trHeight w:val="237"/>
        </w:trPr>
        <w:tc>
          <w:tcPr>
            <w:tcW w:w="5560" w:type="dxa"/>
            <w:vAlign w:val="bottom"/>
            <w:tcBorders>
              <w:bottom w:val="single" w:sz="8" w:color="C0C0C0"/>
            </w:tcBorders>
          </w:tcPr>
          <w:p>
            <w:pPr>
              <w:spacing w:after="0"/>
              <w:rPr>
                <w:sz w:val="20"/>
                <w:szCs w:val="20"/>
                <w:color w:val="auto"/>
              </w:rPr>
            </w:pPr>
          </w:p>
        </w:tc>
        <w:tc>
          <w:tcPr>
            <w:tcW w:w="58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45"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jc w:val="both"/>
        <w:ind w:left="460" w:hanging="398"/>
        <w:spacing w:after="0" w:line="245" w:lineRule="auto"/>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Since the initial adoption of the Plan, no nominee for election as a non-employee director and no associate of any of the Company’s directors, executive officers or nominees for election as a director has been granted any stock option. The following persons received 5% or more of the total options referred to above as having been granted to all employees of the Company: Larry D. De Shon, the Company’s President and Chief Executive Officer (250,000 options), Ronald L. Nelson, the Company’s Former Chairman and Chief Executive Officer (585,000 options), F. Robert Salerno, the Company’s Former Vice Chairman (375,000 options), David B. Wyshner, the Company’s Former President &amp; Chief Financial Officer (337,500 options), and Thomas M. Gartland, the Company’s Former President, North America (250,000 options).</w:t>
      </w:r>
    </w:p>
    <w:p>
      <w:pPr>
        <w:spacing w:after="0" w:line="150" w:lineRule="exact"/>
        <w:rPr>
          <w:rFonts w:ascii="Arial" w:cs="Arial" w:eastAsia="Arial" w:hAnsi="Arial"/>
          <w:sz w:val="14"/>
          <w:szCs w:val="14"/>
          <w:color w:val="auto"/>
        </w:rPr>
      </w:pPr>
    </w:p>
    <w:p>
      <w:pPr>
        <w:jc w:val="both"/>
        <w:ind w:left="460" w:right="20" w:hanging="398"/>
        <w:spacing w:after="0" w:line="250" w:lineRule="auto"/>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Excludes options included in the “Total for all employees (including current non-executive officers)” line item, which were granted to Mr. Salerno who was granted such options when he was an executive officer of the Company. The options granted to Mr. Salerno are reflected in Note 1 above, and have vested and have been exercised and are no longer outstanding.</w:t>
      </w:r>
    </w:p>
    <w:p>
      <w:pPr>
        <w:spacing w:after="0" w:line="145" w:lineRule="exact"/>
        <w:rPr>
          <w:rFonts w:ascii="Arial" w:cs="Arial" w:eastAsia="Arial" w:hAnsi="Arial"/>
          <w:sz w:val="14"/>
          <w:szCs w:val="14"/>
          <w:color w:val="auto"/>
        </w:rPr>
      </w:pPr>
    </w:p>
    <w:p>
      <w:pPr>
        <w:ind w:left="460" w:hanging="398"/>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All options either have vested and been exercised or were forfeited. There are currently no outstanding options.</w:t>
      </w:r>
    </w:p>
    <w:p>
      <w:pPr>
        <w:spacing w:after="0" w:line="180" w:lineRule="exact"/>
        <w:rPr>
          <w:sz w:val="20"/>
          <w:szCs w:val="20"/>
          <w:color w:val="auto"/>
        </w:rPr>
      </w:pPr>
    </w:p>
    <w:p>
      <w:pPr>
        <w:jc w:val="center"/>
        <w:spacing w:after="0" w:line="263" w:lineRule="auto"/>
        <w:rPr>
          <w:sz w:val="20"/>
          <w:szCs w:val="20"/>
          <w:color w:val="auto"/>
        </w:rPr>
      </w:pPr>
      <w:r>
        <w:rPr>
          <w:rFonts w:ascii="Arial" w:cs="Arial" w:eastAsia="Arial" w:hAnsi="Arial"/>
          <w:sz w:val="21"/>
          <w:szCs w:val="21"/>
          <w:b w:val="1"/>
          <w:bCs w:val="1"/>
          <w:color w:val="auto"/>
        </w:rPr>
        <w:t>THE BOARD OF DIRECTORS RECOMMENDS A VOTE “FOR” THE APPROVAL OF THE AVIS BUDGET GROUP, INC. AMENDED AND RESTATED EQUITY AND INCENTIVE PLAN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Shareholder Proposals for 2020 Annual Meeting</w:t>
      </w:r>
    </w:p>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Proposals received from shareholders are given careful consideration by the Company. Shareholder proposals submitted in accordance with Rule 14a-8 under the Exchange Act are eligible for consideration for inclusion in the Company’s proxy statement for the 2020 annual meeting of shareholders if they are received by the Company on or before December 3, 2019. Any proposal should be directed to the attention of the Corporate Secretary, Avis Budget Group, Inc., 6 Sylvan Way, Parsippany, N.J. 07054. In order for a shareholder proposal submitted outside of Rule 14a-8 to be considered at the 2020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23, 2020) nor more than ninety days (i.e., February 22, 2020) before the anniversary date of the immediately preceding annual meeting of shareholders. In order for a director nomination to be timely under the By-laws, it must be received not less than ninety days (i.e., February 22, 2020)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w:t>
      </w:r>
    </w:p>
    <w:p>
      <w:pPr>
        <w:spacing w:after="0" w:line="203" w:lineRule="exact"/>
        <w:rPr>
          <w:sz w:val="20"/>
          <w:szCs w:val="20"/>
          <w:color w:val="auto"/>
        </w:rPr>
      </w:pPr>
    </w:p>
    <w:p>
      <w:pPr>
        <w:spacing w:after="0"/>
        <w:rPr>
          <w:sz w:val="20"/>
          <w:szCs w:val="20"/>
          <w:color w:val="auto"/>
        </w:rPr>
      </w:pPr>
      <w:r>
        <w:rPr>
          <w:rFonts w:ascii="Arial" w:cs="Arial" w:eastAsia="Arial" w:hAnsi="Arial"/>
          <w:sz w:val="36"/>
          <w:szCs w:val="36"/>
          <w:color w:val="auto"/>
        </w:rPr>
        <w:t>Additional Information</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Eliminating Duplicate Mailings. </w:t>
      </w:r>
      <w:r>
        <w:rPr>
          <w:rFonts w:ascii="Arial" w:cs="Arial" w:eastAsia="Arial" w:hAnsi="Arial"/>
          <w:sz w:val="18"/>
          <w:szCs w:val="18"/>
          <w:color w:val="auto"/>
        </w:rPr>
        <w:t>If you share an address with other shareholders of the Company, you may receive notification that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being sent only a single copy of the proxy materials (including a copy of the Proxy Statement and the 2018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6 Sylvan Way, Parsippany, N.J. 07054, Attention: Corporate Secretary or by calling (973) 496-4700 and selecting the “Investor Relations” option.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Solicitation of Proxies. </w:t>
      </w:r>
      <w:r>
        <w:rPr>
          <w:rFonts w:ascii="Arial" w:cs="Arial" w:eastAsia="Arial" w:hAnsi="Arial"/>
          <w:sz w:val="18"/>
          <w:szCs w:val="18"/>
          <w:color w:val="auto"/>
        </w:rPr>
        <w:t>The accompanying form of proxy is being solicited on behalf of the Board of Directors of the Company. The expenses of</w:t>
      </w:r>
      <w:r>
        <w:rPr>
          <w:rFonts w:ascii="Arial" w:cs="Arial" w:eastAsia="Arial" w:hAnsi="Arial"/>
          <w:sz w:val="18"/>
          <w:szCs w:val="18"/>
          <w:i w:val="1"/>
          <w:iCs w:val="1"/>
          <w:color w:val="auto"/>
        </w:rPr>
        <w:t xml:space="preserve"> </w:t>
      </w:r>
      <w:r>
        <w:rPr>
          <w:rFonts w:ascii="Arial" w:cs="Arial" w:eastAsia="Arial" w:hAnsi="Arial"/>
          <w:sz w:val="18"/>
          <w:szCs w:val="18"/>
          <w:color w:val="auto"/>
        </w:rPr>
        <w:t>solicitation of proxies for the 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It is estimated that the fee for Innisfree M&amp;A Incorporated will receive a fee of up to $15,000 plus the reimbursement of reasonable out-of-pocket costs and expenses. Such fee will be paid by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4" w:lineRule="auto"/>
        <w:rPr>
          <w:sz w:val="20"/>
          <w:szCs w:val="20"/>
          <w:color w:val="auto"/>
        </w:rPr>
      </w:pPr>
      <w:r>
        <w:rPr>
          <w:rFonts w:ascii="Arial" w:cs="Arial" w:eastAsia="Arial" w:hAnsi="Arial"/>
          <w:sz w:val="18"/>
          <w:szCs w:val="18"/>
          <w:color w:val="auto"/>
        </w:rPr>
        <w:t>JEAN M. SERA</w:t>
      </w:r>
    </w:p>
    <w:p>
      <w:pPr>
        <w:spacing w:after="0" w:line="235"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2019</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AVIS BUDGET GROUP,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AMENDED AND RESTATED EQUITY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INCENTIVE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10"/>
          </w:tcPr>
          <w:p>
            <w:pPr>
              <w:spacing w:after="0"/>
              <w:rPr>
                <w:sz w:val="20"/>
                <w:szCs w:val="20"/>
                <w:color w:val="auto"/>
              </w:rPr>
            </w:pPr>
            <w:r>
              <w:rPr>
                <w:rFonts w:ascii="Arial" w:cs="Arial" w:eastAsia="Arial" w:hAnsi="Arial"/>
                <w:sz w:val="18"/>
                <w:szCs w:val="18"/>
                <w:b w:val="1"/>
                <w:bCs w:val="1"/>
                <w:color w:val="auto"/>
              </w:rPr>
              <w:t>Section</w:t>
            </w:r>
          </w:p>
        </w:tc>
        <w:tc>
          <w:tcPr>
            <w:tcW w:w="68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65"/>
        </w:trPr>
        <w:tc>
          <w:tcPr>
            <w:tcW w:w="160" w:type="dxa"/>
            <w:vAlign w:val="bottom"/>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1.</w:t>
              </w:r>
            </w:hyperlink>
          </w:p>
        </w:tc>
        <w:tc>
          <w:tcPr>
            <w:tcW w:w="200" w:type="dxa"/>
            <w:vAlign w:val="bottom"/>
          </w:tcPr>
          <w:p>
            <w:pPr>
              <w:spacing w:after="0"/>
              <w:rPr>
                <w:sz w:val="24"/>
                <w:szCs w:val="24"/>
                <w:color w:val="auto"/>
              </w:rPr>
            </w:pPr>
          </w:p>
        </w:tc>
        <w:tc>
          <w:tcPr>
            <w:tcW w:w="422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Purpose; Types of Awards; Construction</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85"/>
        </w:trPr>
        <w:tc>
          <w:tcPr>
            <w:tcW w:w="16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2.</w:t>
              </w:r>
            </w:hyperlink>
          </w:p>
        </w:tc>
        <w:tc>
          <w:tcPr>
            <w:tcW w:w="200" w:type="dxa"/>
            <w:vAlign w:val="bottom"/>
          </w:tcPr>
          <w:p>
            <w:pPr>
              <w:spacing w:after="0"/>
              <w:rPr>
                <w:sz w:val="24"/>
                <w:szCs w:val="24"/>
                <w:color w:val="auto"/>
              </w:rPr>
            </w:pP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7"/>
              </w:rPr>
            </w:pPr>
            <w:hyperlink w:anchor="page62">
              <w:r>
                <w:rPr>
                  <w:rFonts w:ascii="Arial" w:cs="Arial" w:eastAsia="Arial" w:hAnsi="Arial"/>
                  <w:sz w:val="18"/>
                  <w:szCs w:val="18"/>
                  <w:color w:val="0000EE"/>
                  <w:w w:val="97"/>
                </w:rPr>
                <w:t>Definitions</w:t>
              </w:r>
            </w:hyperlink>
          </w:p>
        </w:tc>
        <w:tc>
          <w:tcPr>
            <w:tcW w:w="2360" w:type="dxa"/>
            <w:vAlign w:val="bottom"/>
            <w:tcBorders>
              <w:top w:val="single" w:sz="8" w:color="0000EE"/>
            </w:tcBorders>
            <w:gridSpan w:val="5"/>
          </w:tcPr>
          <w:p>
            <w:pPr>
              <w:spacing w:after="0"/>
              <w:rPr>
                <w:sz w:val="24"/>
                <w:szCs w:val="24"/>
                <w:color w:val="auto"/>
              </w:rPr>
            </w:pPr>
          </w:p>
        </w:tc>
        <w:tc>
          <w:tcPr>
            <w:tcW w:w="102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85"/>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3.</w:t>
              </w:r>
            </w:hyperlink>
          </w:p>
        </w:tc>
        <w:tc>
          <w:tcPr>
            <w:tcW w:w="200" w:type="dxa"/>
            <w:vAlign w:val="bottom"/>
          </w:tcPr>
          <w:p>
            <w:pPr>
              <w:spacing w:after="0"/>
              <w:rPr>
                <w:sz w:val="24"/>
                <w:szCs w:val="24"/>
                <w:color w:val="auto"/>
              </w:rPr>
            </w:pPr>
          </w:p>
        </w:tc>
        <w:tc>
          <w:tcPr>
            <w:tcW w:w="11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64">
              <w:r>
                <w:rPr>
                  <w:rFonts w:ascii="Arial" w:cs="Arial" w:eastAsia="Arial" w:hAnsi="Arial"/>
                  <w:sz w:val="18"/>
                  <w:szCs w:val="18"/>
                  <w:color w:val="0000EE"/>
                  <w:w w:val="98"/>
                </w:rPr>
                <w:t>Administration</w:t>
              </w:r>
            </w:hyperlink>
          </w:p>
        </w:tc>
        <w:tc>
          <w:tcPr>
            <w:tcW w:w="3080" w:type="dxa"/>
            <w:vAlign w:val="bottom"/>
            <w:gridSpan w:val="5"/>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385"/>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4.</w:t>
              </w:r>
            </w:hyperlink>
          </w:p>
        </w:tc>
        <w:tc>
          <w:tcPr>
            <w:tcW w:w="200" w:type="dxa"/>
            <w:vAlign w:val="bottom"/>
          </w:tcPr>
          <w:p>
            <w:pPr>
              <w:spacing w:after="0"/>
              <w:rPr>
                <w:sz w:val="24"/>
                <w:szCs w:val="24"/>
                <w:color w:val="auto"/>
              </w:rPr>
            </w:pPr>
          </w:p>
        </w:tc>
        <w:tc>
          <w:tcPr>
            <w:tcW w:w="700" w:type="dxa"/>
            <w:vAlign w:val="bottom"/>
            <w:tcBorders>
              <w:bottom w:val="single" w:sz="8" w:color="0000EE"/>
            </w:tcBorders>
          </w:tcPr>
          <w:p>
            <w:pPr>
              <w:spacing w:after="0"/>
              <w:rPr>
                <w:rFonts w:ascii="Arial" w:cs="Arial" w:eastAsia="Arial" w:hAnsi="Arial"/>
                <w:sz w:val="18"/>
                <w:szCs w:val="18"/>
                <w:color w:val="0000EE"/>
                <w:w w:val="97"/>
              </w:rPr>
            </w:pPr>
            <w:hyperlink w:anchor="page65">
              <w:r>
                <w:rPr>
                  <w:rFonts w:ascii="Arial" w:cs="Arial" w:eastAsia="Arial" w:hAnsi="Arial"/>
                  <w:sz w:val="18"/>
                  <w:szCs w:val="18"/>
                  <w:color w:val="0000EE"/>
                  <w:w w:val="97"/>
                </w:rPr>
                <w:t>Eligibility</w:t>
              </w:r>
            </w:hyperlink>
          </w:p>
        </w:tc>
        <w:tc>
          <w:tcPr>
            <w:tcW w:w="3520" w:type="dxa"/>
            <w:vAlign w:val="bottom"/>
            <w:gridSpan w:val="7"/>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385"/>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5.</w:t>
              </w:r>
            </w:hyperlink>
          </w:p>
        </w:tc>
        <w:tc>
          <w:tcPr>
            <w:tcW w:w="200" w:type="dxa"/>
            <w:vAlign w:val="bottom"/>
          </w:tcPr>
          <w:p>
            <w:pPr>
              <w:spacing w:after="0"/>
              <w:rPr>
                <w:sz w:val="24"/>
                <w:szCs w:val="24"/>
                <w:color w:val="auto"/>
              </w:rPr>
            </w:pPr>
          </w:p>
        </w:tc>
        <w:tc>
          <w:tcPr>
            <w:tcW w:w="20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Stock Subject to the Plan</w:t>
              </w:r>
            </w:hyperlink>
          </w:p>
        </w:tc>
        <w:tc>
          <w:tcPr>
            <w:tcW w:w="2200" w:type="dxa"/>
            <w:vAlign w:val="bottom"/>
            <w:gridSpan w:val="3"/>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385"/>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6.</w:t>
              </w:r>
            </w:hyperlink>
          </w:p>
        </w:tc>
        <w:tc>
          <w:tcPr>
            <w:tcW w:w="200" w:type="dxa"/>
            <w:vAlign w:val="bottom"/>
          </w:tcPr>
          <w:p>
            <w:pPr>
              <w:spacing w:after="0"/>
              <w:rPr>
                <w:sz w:val="24"/>
                <w:szCs w:val="24"/>
                <w:color w:val="auto"/>
              </w:rPr>
            </w:pPr>
          </w:p>
        </w:tc>
        <w:tc>
          <w:tcPr>
            <w:tcW w:w="202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Specific Terms of Awards</w:t>
              </w:r>
            </w:hyperlink>
          </w:p>
        </w:tc>
        <w:tc>
          <w:tcPr>
            <w:tcW w:w="2200" w:type="dxa"/>
            <w:vAlign w:val="bottom"/>
            <w:gridSpan w:val="3"/>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385"/>
        </w:trPr>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7.</w:t>
              </w:r>
            </w:hyperlink>
          </w:p>
        </w:tc>
        <w:tc>
          <w:tcPr>
            <w:tcW w:w="200" w:type="dxa"/>
            <w:vAlign w:val="bottom"/>
          </w:tcPr>
          <w:p>
            <w:pPr>
              <w:spacing w:after="0"/>
              <w:rPr>
                <w:sz w:val="24"/>
                <w:szCs w:val="24"/>
                <w:color w:val="auto"/>
              </w:rPr>
            </w:pPr>
          </w:p>
        </w:tc>
        <w:tc>
          <w:tcPr>
            <w:tcW w:w="23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Change in Control Provisions</w:t>
              </w:r>
            </w:hyperlink>
          </w:p>
        </w:tc>
        <w:tc>
          <w:tcPr>
            <w:tcW w:w="1880" w:type="dxa"/>
            <w:vAlign w:val="bottom"/>
            <w:gridSpan w:val="2"/>
          </w:tcPr>
          <w:p>
            <w:pPr>
              <w:spacing w:after="0"/>
              <w:rPr>
                <w:sz w:val="24"/>
                <w:szCs w:val="24"/>
                <w:color w:val="auto"/>
              </w:rPr>
            </w:pPr>
          </w:p>
        </w:tc>
        <w:tc>
          <w:tcPr>
            <w:tcW w:w="68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385"/>
        </w:trPr>
        <w:tc>
          <w:tcPr>
            <w:tcW w:w="160" w:type="dxa"/>
            <w:vAlign w:val="bottom"/>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8.</w:t>
              </w:r>
            </w:hyperlink>
          </w:p>
        </w:tc>
        <w:tc>
          <w:tcPr>
            <w:tcW w:w="200" w:type="dxa"/>
            <w:vAlign w:val="bottom"/>
          </w:tcPr>
          <w:p>
            <w:pPr>
              <w:spacing w:after="0"/>
              <w:rPr>
                <w:sz w:val="24"/>
                <w:szCs w:val="24"/>
                <w:color w:val="auto"/>
              </w:rPr>
            </w:pPr>
          </w:p>
        </w:tc>
        <w:tc>
          <w:tcPr>
            <w:tcW w:w="422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General Provisions</w:t>
              </w:r>
            </w:hyperlink>
          </w:p>
        </w:tc>
        <w:tc>
          <w:tcPr>
            <w:tcW w:w="68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399"/>
        </w:trPr>
        <w:tc>
          <w:tcPr>
            <w:tcW w:w="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40" w:type="dxa"/>
            <w:vAlign w:val="bottom"/>
          </w:tcPr>
          <w:p>
            <w:pPr>
              <w:jc w:val="right"/>
              <w:ind w:right="5470"/>
              <w:spacing w:after="0"/>
              <w:rPr>
                <w:sz w:val="20"/>
                <w:szCs w:val="20"/>
                <w:color w:val="auto"/>
              </w:rPr>
            </w:pPr>
            <w:r>
              <w:rPr>
                <w:rFonts w:ascii="Arial" w:cs="Arial" w:eastAsia="Arial" w:hAnsi="Arial"/>
                <w:sz w:val="18"/>
                <w:szCs w:val="18"/>
                <w:color w:val="auto"/>
              </w:rPr>
              <w:t>A-1</w:t>
            </w:r>
          </w:p>
        </w:tc>
      </w:tr>
      <w:tr>
        <w:trPr>
          <w:trHeight w:val="237"/>
        </w:trPr>
        <w:tc>
          <w:tcPr>
            <w:tcW w:w="1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68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45"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Purpose; Types of Awards; Construction.</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purpose of the AVIS BUDGET GROUP, INC. Equity and Incentive Plan, as amended and restated (the “Plan”), is to promote the interests of the Company and its Subsidiaries and the stockholders of the Company by providing officers, employees, consultants and independent contractors (including non-employee directors) of the Company and its Subsidiaries with appropriate incentives and rewards to encourage them to enter into and continue in the employ or service of the Company or its Subsidiaries, to acquire a proprietary interest in the long-term success of the Company and to reward the performance of individuals in fulfilling their personal responsibilities for long-range and annual achievements. The Plan provides for the grant, in the sole discretion of the Committee, of options (including “incentive stock options” and “nonqualified stock options”), stock appreciation rights, restricted stock, restricted stock units and other stock- or cash-based awards. Notwithstanding any provision of the Plan, to the extent that any Award would be subject to Section 409A of the Code, no such Award may be granted if it would fail to comply with the requirements set forth in Section 409A of the Code and any regulations or guidance promulgated thereunder. The Plan is an amendment and restatement of the Prior Plan. Awards granted under the Prior Plan prior to the Amendment Date will be subject to the terms of the Prior Plan.</w:t>
      </w:r>
    </w:p>
    <w:p>
      <w:pPr>
        <w:spacing w:after="0" w:line="160"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98" w:lineRule="exact"/>
        <w:rPr>
          <w:sz w:val="20"/>
          <w:szCs w:val="20"/>
          <w:color w:val="auto"/>
        </w:rPr>
      </w:pPr>
    </w:p>
    <w:p>
      <w:pPr>
        <w:ind w:left="660" w:hanging="328"/>
        <w:spacing w:after="0" w:line="24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“Award” means any Option, Stock Appreciation Right, Restricted Stock, Restricted Stock Unit or Other Stock-Based Award or Other Cash-Based Award granted under the Plan.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evidencing an Award.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19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in Control” shall be deemed to have occurred if the event set forth in any one of the following paragraphs shall have occurred:</w:t>
      </w:r>
    </w:p>
    <w:p>
      <w:pPr>
        <w:spacing w:after="0" w:line="183"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Person is or becomes the “Beneficial Owner” (as defined in Rule 13d-3 under the Exchange Act), directly or indirectly, of securities of the Company (not including in the securities Beneficially Owned by such Person any securities acquired directly from the Company) representing 50% or more of the Company’s then outstanding securities, excluding any Person who becomes such a Beneficial Owner in connection with a transaction described in clause (i) of paragraph (3) below; or</w:t>
      </w:r>
    </w:p>
    <w:p>
      <w:pPr>
        <w:spacing w:after="0" w:line="188" w:lineRule="exact"/>
        <w:rPr>
          <w:rFonts w:ascii="Arial" w:cs="Arial" w:eastAsia="Arial" w:hAnsi="Arial"/>
          <w:sz w:val="18"/>
          <w:szCs w:val="18"/>
          <w:color w:val="auto"/>
        </w:rPr>
      </w:pPr>
    </w:p>
    <w:p>
      <w:pPr>
        <w:jc w:val="both"/>
        <w:ind w:left="980" w:hanging="324"/>
        <w:spacing w:after="0" w:line="237"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189" w:lineRule="exact"/>
        <w:rPr>
          <w:rFonts w:ascii="Arial" w:cs="Arial" w:eastAsia="Arial" w:hAnsi="Arial"/>
          <w:sz w:val="18"/>
          <w:szCs w:val="18"/>
          <w:color w:val="auto"/>
        </w:rPr>
      </w:pPr>
    </w:p>
    <w:p>
      <w:pPr>
        <w:jc w:val="both"/>
        <w:ind w:left="980" w:hanging="324"/>
        <w:spacing w:after="0" w:line="236"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any other corporation other than (i)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or consolidation,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representing 50% or more of the combined voting power of the Company’s then outstanding securities; or</w:t>
      </w:r>
    </w:p>
    <w:p>
      <w:pPr>
        <w:spacing w:after="0" w:line="193" w:lineRule="exact"/>
        <w:rPr>
          <w:rFonts w:ascii="Arial" w:cs="Arial" w:eastAsia="Arial" w:hAnsi="Arial"/>
          <w:sz w:val="18"/>
          <w:szCs w:val="18"/>
          <w:color w:val="auto"/>
        </w:rPr>
      </w:pPr>
    </w:p>
    <w:p>
      <w:pPr>
        <w:jc w:val="both"/>
        <w:ind w:left="980" w:hanging="324"/>
        <w:spacing w:after="0" w:line="238" w:lineRule="auto"/>
        <w:tabs>
          <w:tab w:leader="none" w:pos="9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prior to such sale.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ind w:left="980"/>
        <w:spacing w:after="0" w:line="238" w:lineRule="auto"/>
        <w:rPr>
          <w:sz w:val="20"/>
          <w:szCs w:val="20"/>
          <w:color w:val="auto"/>
        </w:rPr>
      </w:pPr>
      <w:r>
        <w:rPr>
          <w:rFonts w:ascii="Arial" w:cs="Arial" w:eastAsia="Arial" w:hAnsi="Arial"/>
          <w:sz w:val="18"/>
          <w:szCs w:val="18"/>
          <w:color w:val="auto"/>
        </w:rPr>
        <w:t>Notwithstanding the foregoing, a “Change in Control” shall not be deemed to have occurred by virtue of the consummation of any transaction or series of integrated transactions immediately following which the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w:t>
      </w:r>
    </w:p>
    <w:p>
      <w:pPr>
        <w:spacing w:after="0" w:line="189" w:lineRule="exact"/>
        <w:rPr>
          <w:sz w:val="20"/>
          <w:szCs w:val="20"/>
          <w:color w:val="auto"/>
        </w:rPr>
      </w:pPr>
    </w:p>
    <w:p>
      <w:pPr>
        <w:ind w:left="720" w:hanging="38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w:t>
      </w:r>
    </w:p>
    <w:p>
      <w:pPr>
        <w:spacing w:after="0" w:line="198" w:lineRule="exact"/>
        <w:rPr>
          <w:rFonts w:ascii="Arial" w:cs="Arial" w:eastAsia="Arial" w:hAnsi="Arial"/>
          <w:sz w:val="18"/>
          <w:szCs w:val="18"/>
          <w:color w:val="auto"/>
        </w:rPr>
      </w:pPr>
    </w:p>
    <w:p>
      <w:pPr>
        <w:jc w:val="both"/>
        <w:ind w:left="720" w:hanging="388"/>
        <w:spacing w:after="0" w:line="239"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“Committee” shall mean the Board, or a committee designated by the Board to administer the Plan. Notwithstanding the foregoing, for purposes of any Award granted under the Prior Plan that is intended to constitute “qualified performance-based compensation” under Section 162(m) of the Code, each member of the Committee shall also be an Outside Director for purposes of certifying the extent to which any applicable performance-based vesting conditions are achieved.</w:t>
      </w:r>
    </w:p>
    <w:p>
      <w:pPr>
        <w:spacing w:after="0" w:line="188" w:lineRule="exact"/>
        <w:rPr>
          <w:rFonts w:ascii="Arial" w:cs="Arial" w:eastAsia="Arial" w:hAnsi="Arial"/>
          <w:sz w:val="18"/>
          <w:szCs w:val="18"/>
          <w:color w:val="auto"/>
        </w:rPr>
      </w:pPr>
    </w:p>
    <w:p>
      <w:pPr>
        <w:ind w:left="720" w:hanging="388"/>
        <w:spacing w:after="0" w:line="24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“Company” means Avis Budget Group, Inc., a corporation organized under the laws of the State of Delaware, or any successor corporation.</w:t>
      </w:r>
    </w:p>
    <w:p>
      <w:pPr>
        <w:spacing w:after="0" w:line="183" w:lineRule="exact"/>
        <w:rPr>
          <w:rFonts w:ascii="Arial" w:cs="Arial" w:eastAsia="Arial" w:hAnsi="Arial"/>
          <w:sz w:val="18"/>
          <w:szCs w:val="18"/>
          <w:color w:val="auto"/>
        </w:rPr>
      </w:pPr>
    </w:p>
    <w:p>
      <w:pPr>
        <w:ind w:left="720" w:hanging="38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“Effective Date” shall have the meaning set forth in Section 8(d) of the Plan.</w:t>
      </w:r>
    </w:p>
    <w:p>
      <w:pPr>
        <w:spacing w:after="0" w:line="198" w:lineRule="exact"/>
        <w:rPr>
          <w:rFonts w:ascii="Arial" w:cs="Arial" w:eastAsia="Arial" w:hAnsi="Arial"/>
          <w:sz w:val="18"/>
          <w:szCs w:val="18"/>
          <w:color w:val="auto"/>
        </w:rPr>
      </w:pPr>
    </w:p>
    <w:p>
      <w:pPr>
        <w:ind w:left="720" w:right="20" w:hanging="388"/>
        <w:spacing w:after="0" w:line="24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and as now or hereafter construed, interpreted and applied by regulations, rulings and cases.</w:t>
      </w:r>
    </w:p>
    <w:p>
      <w:pPr>
        <w:spacing w:after="0" w:line="183" w:lineRule="exact"/>
        <w:rPr>
          <w:rFonts w:ascii="Arial" w:cs="Arial" w:eastAsia="Arial" w:hAnsi="Arial"/>
          <w:sz w:val="18"/>
          <w:szCs w:val="18"/>
          <w:color w:val="auto"/>
        </w:rPr>
      </w:pPr>
    </w:p>
    <w:p>
      <w:pPr>
        <w:jc w:val="both"/>
        <w:ind w:left="720" w:hanging="388"/>
        <w:spacing w:after="0" w:line="23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“Fair Market Value” means, with respect to Stock or other property, the fair market value of such Stock or other property determined by such methods or procedures as shall be established from time to time by the Committee. Unless otherwise determined by the Committee in good faith, the per share Fair Market Value of Stock as of a particular date shall mean (i) the closing price per share of Stock on the national securities exchange on which the Stock is principally traded, for the last preceding date on which there was a sale of such Stock on such exchange, or (ii) if the shares of Stock are then traded in an over-the-counter market, the average of the closing bid and asked prices for the shares of Stock in such over-the-counter market for the last preceding date on which there was a sale of such Stock in such market, or (iii) if the shares of Stock are not then listed on a national securities exchange or traded in an over-the-counter market, such value as the Committee, in its sole discretion, shall determine.</w:t>
      </w:r>
    </w:p>
    <w:p>
      <w:pPr>
        <w:spacing w:after="0" w:line="194" w:lineRule="exact"/>
        <w:rPr>
          <w:rFonts w:ascii="Arial" w:cs="Arial" w:eastAsia="Arial" w:hAnsi="Arial"/>
          <w:sz w:val="18"/>
          <w:szCs w:val="18"/>
          <w:color w:val="auto"/>
        </w:rPr>
      </w:pPr>
    </w:p>
    <w:p>
      <w:pPr>
        <w:jc w:val="both"/>
        <w:ind w:left="720" w:hanging="38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“Grantee” means an employee, consultants, or independent contractor (including non-employee director) of the Company or any Subsidiary of the Company or such other individual that performs services for or provides services to the Company or any Subsidiary of the Company that has been granted an Award under the Plan.</w:t>
      </w:r>
    </w:p>
    <w:p>
      <w:pPr>
        <w:spacing w:after="0" w:line="189" w:lineRule="exact"/>
        <w:rPr>
          <w:rFonts w:ascii="Arial" w:cs="Arial" w:eastAsia="Arial" w:hAnsi="Arial"/>
          <w:sz w:val="18"/>
          <w:szCs w:val="18"/>
          <w:color w:val="auto"/>
        </w:rPr>
      </w:pPr>
    </w:p>
    <w:p>
      <w:pPr>
        <w:ind w:left="720" w:hanging="38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“ISO” means any Option intended to be and designated as an incentive stock option within the meaning of Section 422 of the Code.</w:t>
      </w:r>
    </w:p>
    <w:p>
      <w:pPr>
        <w:spacing w:after="0" w:line="198" w:lineRule="exact"/>
        <w:rPr>
          <w:rFonts w:ascii="Arial" w:cs="Arial" w:eastAsia="Arial" w:hAnsi="Arial"/>
          <w:sz w:val="18"/>
          <w:szCs w:val="18"/>
          <w:color w:val="auto"/>
        </w:rPr>
      </w:pPr>
    </w:p>
    <w:p>
      <w:pPr>
        <w:ind w:left="720" w:hanging="388"/>
        <w:spacing w:after="0"/>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“NQSO” means any Option that is not designated as an ISO.</w:t>
      </w:r>
    </w:p>
    <w:p>
      <w:pPr>
        <w:spacing w:after="0" w:line="198" w:lineRule="exact"/>
        <w:rPr>
          <w:rFonts w:ascii="Arial" w:cs="Arial" w:eastAsia="Arial" w:hAnsi="Arial"/>
          <w:sz w:val="18"/>
          <w:szCs w:val="18"/>
          <w:color w:val="auto"/>
        </w:rPr>
      </w:pPr>
    </w:p>
    <w:p>
      <w:pPr>
        <w:ind w:left="720" w:right="20" w:hanging="388"/>
        <w:spacing w:after="0" w:line="24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“Option” means a right, granted to a Grantee under Section 6(b)(i), to purchase shares of Stock. An Option may be either an ISO or an NQSO.</w:t>
      </w:r>
    </w:p>
    <w:p>
      <w:pPr>
        <w:spacing w:after="0" w:line="183" w:lineRule="exact"/>
        <w:rPr>
          <w:rFonts w:ascii="Arial" w:cs="Arial" w:eastAsia="Arial" w:hAnsi="Arial"/>
          <w:sz w:val="18"/>
          <w:szCs w:val="18"/>
          <w:color w:val="auto"/>
        </w:rPr>
      </w:pPr>
    </w:p>
    <w:p>
      <w:pPr>
        <w:ind w:left="720" w:hanging="388"/>
        <w:spacing w:after="0" w:line="24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Cash-Based Award” means cash awarded under Section 6(b)(v) of the Plan, including cash awarded as a bonus or upon the attainment of Performance Goals or otherwise as permitted under the Plan.</w:t>
      </w:r>
    </w:p>
    <w:p>
      <w:pPr>
        <w:spacing w:after="0" w:line="183" w:lineRule="exact"/>
        <w:rPr>
          <w:rFonts w:ascii="Arial" w:cs="Arial" w:eastAsia="Arial" w:hAnsi="Arial"/>
          <w:sz w:val="18"/>
          <w:szCs w:val="18"/>
          <w:color w:val="auto"/>
        </w:rPr>
      </w:pPr>
    </w:p>
    <w:p>
      <w:pPr>
        <w:jc w:val="both"/>
        <w:ind w:left="720" w:hanging="388"/>
        <w:spacing w:after="0" w:line="238"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Stock-Based Award” means a right or other interest granted to a Grantee under Section 6(b)(v) of the Plan that may be denominated or payable in, valued in whole or in part by reference to, or otherwise based on, or related to, Stock, including but not limited to (i) unrestricted Stock awarded as a bonus or upon the attainment of Performance Goals or otherwise as permitted under the Plan, and (ii) a right granted to a Grantee to acquire Stock from the Company containing terms and conditions prescribed by the Committee.</w:t>
      </w:r>
    </w:p>
    <w:p>
      <w:pPr>
        <w:spacing w:after="0" w:line="189" w:lineRule="exact"/>
        <w:rPr>
          <w:rFonts w:ascii="Arial" w:cs="Arial" w:eastAsia="Arial" w:hAnsi="Arial"/>
          <w:sz w:val="18"/>
          <w:szCs w:val="18"/>
          <w:color w:val="auto"/>
        </w:rPr>
      </w:pPr>
    </w:p>
    <w:p>
      <w:pPr>
        <w:jc w:val="both"/>
        <w:ind w:left="720" w:hanging="388"/>
        <w:spacing w:after="0" w:line="236"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Goals” means performance goals based on the attainment by the Company or any Subsidiary of the Company (or any division or business unit of such entity) of performance goals pre-established by the Committee in its sole discretion, including those based on one or more of the following criteria (as determined in accordance with generally accepted accounting principles, if applicable): (1) return on total stockholder equity; (2) earnings per share of Company Stock; (3) net income (before or after taxes); (4) earnings before any or all of interest, taxes, minority interest, depreciation and amortization (“EBITDA”); (5) sales or revenues; (6) return on assets, capital or investment; (7) market share; (8) cost reduction goals, including goals related to operating and/or sales, general and administrative expenses; (9) implementation or completion of critical projects or processes; (10) cash flow; (11) EBITDA margin; (12) pretax income margin; (13) gross 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net profit margin; (14) customer satisfaction metrics, such as net promoter scores; (15) total stockholder return; (16) share price; and</w:t>
      </w:r>
    </w:p>
    <w:p>
      <w:pPr>
        <w:jc w:val="both"/>
        <w:ind w:left="760"/>
        <w:spacing w:after="0" w:line="236" w:lineRule="auto"/>
        <w:rPr>
          <w:sz w:val="20"/>
          <w:szCs w:val="20"/>
          <w:color w:val="auto"/>
        </w:rPr>
      </w:pPr>
      <w:r>
        <w:rPr>
          <w:rFonts w:ascii="Arial" w:cs="Arial" w:eastAsia="Arial" w:hAnsi="Arial"/>
          <w:sz w:val="18"/>
          <w:szCs w:val="18"/>
          <w:color w:val="auto"/>
        </w:rPr>
        <w:t>(17) any combination of, or a specified increase in, any of the foregoing. The performance goals may be based upon the attainment of specified levels of performance under one or more of the measures described above relative to the performance of other entities. The Committee in its sole discretion may designate different or additional criteria on which the performance goals may be based or adjust, modify or amend the aforementioned criteria. Performance Goals may include a threshold level of performance below which no Award will be earned, a level of performance at which the target amount of an Award will be earned and a level of performance at which the maximum amount of the Award will be earned. The Committee in its sole discretion shall have the authority to make equitable adjustments to the Performance Goals in recognition of unusual, non-recurring or unanticipated events affecting the Company or any Subsidiary of the Company or the financial statements of the Company or any Subsidiary of the Company, in response to changes in applicable laws or regulations, including changes in generally accepted accounting principles or practices, or to account for items of gain, loss or expense determined to be extraordinary or unusual in nature or infrequent in occurrence or related to the disposal of a segment of a business or related to a change in accounting principles, as applicable. The Committee’s authority to make adjustments to the Performance Goals includes, but is not limited to, the authority to exclude the impact of restructuring, transaction costs, events not directly related to the Company’s operations or not within the reasonable control of the Company’s management, and discontinued operations.</w:t>
      </w:r>
    </w:p>
    <w:p>
      <w:pPr>
        <w:spacing w:after="0" w:line="189" w:lineRule="exact"/>
        <w:rPr>
          <w:sz w:val="20"/>
          <w:szCs w:val="20"/>
          <w:color w:val="auto"/>
        </w:rPr>
      </w:pPr>
    </w:p>
    <w:p>
      <w:pPr>
        <w:jc w:val="both"/>
        <w:ind w:left="760" w:hanging="428"/>
        <w:spacing w:after="0" w:line="238"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or any Subsidiary, (2) a trustee or other fiduciary holding securities under an employee benefit plan of the Company or any Subsidiary, (3) an underwriter temporarily holding securities pursuant to an offering of such securities, or (4) a corporation owned, directly or indirectly, by the stockholders of the Company in substantially the same proportions as their ownership of stock of the Company.</w:t>
      </w:r>
    </w:p>
    <w:p>
      <w:pPr>
        <w:spacing w:after="0" w:line="189" w:lineRule="exact"/>
        <w:rPr>
          <w:rFonts w:ascii="Arial" w:cs="Arial" w:eastAsia="Arial" w:hAnsi="Arial"/>
          <w:sz w:val="18"/>
          <w:szCs w:val="18"/>
          <w:color w:val="auto"/>
        </w:rPr>
      </w:pPr>
    </w:p>
    <w:p>
      <w:pPr>
        <w:ind w:left="760" w:hanging="42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“Plan” means this Avis Budget Group, Inc. Amended and Restated Equity and Incentive Plan, as amended from time to time.</w:t>
      </w:r>
    </w:p>
    <w:p>
      <w:pPr>
        <w:spacing w:after="0" w:line="198" w:lineRule="exact"/>
        <w:rPr>
          <w:rFonts w:ascii="Arial" w:cs="Arial" w:eastAsia="Arial" w:hAnsi="Arial"/>
          <w:sz w:val="18"/>
          <w:szCs w:val="18"/>
          <w:color w:val="auto"/>
        </w:rPr>
      </w:pPr>
    </w:p>
    <w:p>
      <w:pPr>
        <w:ind w:left="760" w:right="20" w:hanging="428"/>
        <w:spacing w:after="0" w:line="246"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“Prior Plan” means the Avis Budget Group, Inc. Amended and Restated Equity and Incentive Plan, as in effect immediately prior to the Effective Date.</w:t>
      </w:r>
    </w:p>
    <w:p>
      <w:pPr>
        <w:spacing w:after="0" w:line="183" w:lineRule="exact"/>
        <w:rPr>
          <w:rFonts w:ascii="Arial" w:cs="Arial" w:eastAsia="Arial" w:hAnsi="Arial"/>
          <w:sz w:val="18"/>
          <w:szCs w:val="18"/>
          <w:color w:val="auto"/>
        </w:rPr>
      </w:pPr>
    </w:p>
    <w:p>
      <w:pPr>
        <w:ind w:left="760" w:hanging="428"/>
        <w:spacing w:after="0" w:line="246"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“Restricted Stock” means an Award of shares of Stock to a Grantee under Section 6(b)(iii) that may be subject to certain restrictions and to a risk of forfeiture.</w:t>
      </w:r>
    </w:p>
    <w:p>
      <w:pPr>
        <w:spacing w:after="0" w:line="183" w:lineRule="exact"/>
        <w:rPr>
          <w:rFonts w:ascii="Arial" w:cs="Arial" w:eastAsia="Arial" w:hAnsi="Arial"/>
          <w:sz w:val="18"/>
          <w:szCs w:val="18"/>
          <w:color w:val="auto"/>
        </w:rPr>
      </w:pPr>
    </w:p>
    <w:p>
      <w:pPr>
        <w:ind w:left="760" w:hanging="428"/>
        <w:spacing w:after="0" w:line="246"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“Restricted Stock Unit” means a right granted to a Grantee under Section 6(b)(iv) to receive Stock or cash at the end of a specified deferral period, which right may be conditioned on the satisfaction of specified performance or other criteria.</w:t>
      </w:r>
    </w:p>
    <w:p>
      <w:pPr>
        <w:spacing w:after="0" w:line="183" w:lineRule="exact"/>
        <w:rPr>
          <w:rFonts w:ascii="Arial" w:cs="Arial" w:eastAsia="Arial" w:hAnsi="Arial"/>
          <w:sz w:val="18"/>
          <w:szCs w:val="18"/>
          <w:color w:val="auto"/>
        </w:rPr>
      </w:pPr>
    </w:p>
    <w:p>
      <w:pPr>
        <w:ind w:left="760" w:hanging="428"/>
        <w:spacing w:after="0" w:line="246"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“Rule 16b-3” means Rule 16b-3, as from time to time in effect promulgated by the Securities and Exchange Commission under Section 16 of the Exchange Act, including any successor to such Rule.</w:t>
      </w:r>
    </w:p>
    <w:p>
      <w:pPr>
        <w:spacing w:after="0" w:line="183" w:lineRule="exact"/>
        <w:rPr>
          <w:rFonts w:ascii="Arial" w:cs="Arial" w:eastAsia="Arial" w:hAnsi="Arial"/>
          <w:sz w:val="18"/>
          <w:szCs w:val="18"/>
          <w:color w:val="auto"/>
        </w:rPr>
      </w:pPr>
    </w:p>
    <w:p>
      <w:pPr>
        <w:ind w:left="760" w:hanging="42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“Stock” means shares of the common stock, par value $0.01 per share, of the Company.</w:t>
      </w:r>
    </w:p>
    <w:p>
      <w:pPr>
        <w:spacing w:after="0" w:line="198" w:lineRule="exact"/>
        <w:rPr>
          <w:rFonts w:ascii="Arial" w:cs="Arial" w:eastAsia="Arial" w:hAnsi="Arial"/>
          <w:sz w:val="18"/>
          <w:szCs w:val="18"/>
          <w:color w:val="auto"/>
        </w:rPr>
      </w:pPr>
    </w:p>
    <w:p>
      <w:pPr>
        <w:ind w:left="760" w:hanging="428"/>
        <w:spacing w:after="0" w:line="246"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“Stock Appreciation Right” or “SAR” means the right, granted to a Grantee under Section 6(b)(ii), to be paid an amount measured by the appreciation in the Fair Market Value of Stock from the date of grant to the date of exercise of the right.</w:t>
      </w:r>
    </w:p>
    <w:p>
      <w:pPr>
        <w:spacing w:after="0" w:line="183" w:lineRule="exact"/>
        <w:rPr>
          <w:rFonts w:ascii="Arial" w:cs="Arial" w:eastAsia="Arial" w:hAnsi="Arial"/>
          <w:sz w:val="18"/>
          <w:szCs w:val="18"/>
          <w:color w:val="auto"/>
        </w:rPr>
      </w:pPr>
    </w:p>
    <w:p>
      <w:pPr>
        <w:ind w:left="760" w:hanging="42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“Subsidiary” means a “subsidiary corporation,” whether now or hereafter existing, as defined in Section 424(f) of the Code.</w:t>
      </w:r>
    </w:p>
    <w:p>
      <w:pPr>
        <w:spacing w:after="0" w:line="198" w:lineRule="exact"/>
        <w:rPr>
          <w:sz w:val="20"/>
          <w:szCs w:val="20"/>
          <w:color w:val="auto"/>
        </w:rPr>
      </w:pPr>
    </w:p>
    <w:p>
      <w:pPr>
        <w:jc w:val="both"/>
        <w:ind w:left="760" w:hanging="428"/>
        <w:spacing w:after="0"/>
        <w:tabs>
          <w:tab w:leader="none" w:pos="7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“Substitute Awards” means Awards granted or shares of Stock issued by the Company in assumption of, or in substitution or exchange for, awards previously granted by a company acquired by the Company or any Subsidiary of the Company or with which the Company or any Subsidiary of the Company combines.</w:t>
      </w:r>
    </w:p>
    <w:p>
      <w:pPr>
        <w:spacing w:after="0" w:line="157"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and to determine whether, to what extent, and under what circumstances an Award may be settled, cancelled, forfeited, exchanged, or surrendered; to make adjustments in the terms and conditions of, and the Performance Goals (if any) included in, Awards; to construe and interpret the Plan and any Award; to prescribe, amend and rescind rules and regulations relating to the Plan; to determine the terms and provisions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Award Agreements (which need not be identical for each Grantee); and to make all other determinations deemed necessary or advisable for the administration of the Plan. Notwithstanding the foregoing, neither the Board, the Committee nor their respective delegates shall have the authority to reprice (or cancel and regrant) any Option or, if applicable, other Award at a lower exercise, base or purchase price without first obtaining the approval of the Company’s stockholders.</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persons, including but not limited to the Company, any Subsidiary of the Company, or Grantee (or any person claiming any rights under the Plan from or through any Grantee) and any stockholder.</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member of the Board or Committee shall be liable for any action taken or determination made in good faith with respect to the Plan or any Award granted hereunder.</w:t>
      </w:r>
    </w:p>
    <w:p>
      <w:pPr>
        <w:spacing w:after="0" w:line="152"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Awards may be granted to executive officers and other key employees, consultants and independent contractors (including non-employee directors) of the Company or its Subsidiaries, including officers and directors who are employees, to key consultants to the Company or its Subsidiaries, and to other individuals who perform services for or provide services to the Company or its Subsidiaries. In determining the persons to whom Awards shall be granted and the number of shares to be covered by each Award, the Committee shall take into account the duties of the respective persons, their present and potential contributions to the success of the Company or its Subsidiaries and such other factors as the Committee shall deem relevant in connection with accomplishing the purposes of the Plan.</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aggregate grant date fair value (computed as of the date of grant in accordance with applicable financial accounting rules) of all equity Awards granted to any individual non-employee director in any calendar year (excluding Awards made pursuant to deferred compensation arrangements in lieu of all or a portion of cash retainers and any stock dividends payable in respect of outstanding awards) shall not exceed $1.0 million.</w:t>
      </w:r>
    </w:p>
    <w:p>
      <w:pPr>
        <w:spacing w:after="0" w:line="157"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Stock Subject to the Plan.</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maximum number of shares of Stock reserved for the grant of Awards under the Plan shall be 22,500,000 shares of Stock (all of which such shares of Stock may be granted as ISOs), subject to adjustment as provided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Award granted hereunder after March 18, 2009 (other than Awards in respect of Options and SARS) shall be counted against the foregoing share limit as 1.18 shares for every one share actually issued in connection with such Award. Subject to adjustment as provided herein, no more than 1,000,000 shares of Stock may be made subject to Awards granted to an individual in a single calendar year.</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Such shares of Stock may, in whole or in part, be authorized but unissued shares or shares of Stock that shall have been or may be reacquired by the Company in the open market, in private transactions or otherwise. If any shares of Stock subject to an Award are forfeited, or cancelled or if an Award terminates or expires without a distribution of shares to the Grantee, the shares of Stock with respect to such Award shall, to the extent of any such forfeiture, cancellation, termination or expiration, again be available for Awards under the Plan. Upon the exercise of any Award granted in tandem with any Awards such related Awards shall be cancelled to the extent of the number of shares of Stock as to which the Award is exercised and, notwithstanding the foregoing, such number of shares shall no longer be available for Awards under the Plan. In addition, shares of Stock surrendered or withheld as payment of either the exercise price of an Award (including shares of Stock otherwise underlying an Award of a SAR that are retained by the Company to account for the grant price of such SAR) and/or withholding taxes in respect of an Award shall no longer be available for Awards under the Plan.</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the event that the Committee shall determine that any dividend or other distribution (whether in the form of cash, Stock, or other property), recapitalization, Stock split, reverse split, reorganization, merger, consolidation, spin-off, combination, repurchase, or share exchange, or other similar corporate transaction or event, affects the Stock such that an adjustment is appropriate in order to prevent dilution or enlargement of the rights of Grantees under the Plan, then the Committee shall make such equitable changes or adjustments as it deems necessary or appropriate to any or all of (i) the number and kind of shares of Stock or other property (including cash) that may thereafter be issued in connection with Awards, (ii) the number and kind of shares of Stock or other property (including cash) issued or issuable in respect of outstanding Awards, (iii) the exercise price, grant price, or purchase price relating to any Award;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ISOs, such adjustment shall be made in accordance with Section 424(h) of the Code; and (iv) the Performance Goals applicable to outstanding Awards.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Specific Terms of Awards.</w:t>
      </w:r>
    </w:p>
    <w:p>
      <w:pPr>
        <w:spacing w:after="0" w:line="264" w:lineRule="exact"/>
        <w:rPr>
          <w:rFonts w:ascii="Arial" w:cs="Arial" w:eastAsia="Arial" w:hAnsi="Arial"/>
          <w:sz w:val="22"/>
          <w:szCs w:val="22"/>
          <w:b w:val="1"/>
          <w:bCs w:val="1"/>
          <w:color w:val="auto"/>
        </w:rPr>
      </w:pPr>
    </w:p>
    <w:p>
      <w:pPr>
        <w:jc w:val="both"/>
        <w:ind w:left="660" w:hanging="328"/>
        <w:spacing w:after="0" w:line="236"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term of each Award shall be for such period as may be determined by the Committee. Subject to the terms of the Plan and any applicable Award Agreement, payments to be made by the Company or any Subsidiary of the Company upon the grant, maturation, or exercise of an Award may be made in such forms as the Committee shall determine at the date of grant or thereafter, including, without limitation, cash, Stock, or other property, and may be made in a single payment or transfer, in installments, or on a deferred basis. The Committee may make rules relating to installment or deferred payments with respect to Awards, including the rate of interest to be credited with respect to such payments. In addition to the foregoing, the Committee may impose on any Award or the exercise thereof, at the date of grant or thereafter, such additional terms and conditions, not inconsistent with the provisions of the Plan, as the Committee shall determine.</w:t>
      </w:r>
    </w:p>
    <w:p>
      <w:pPr>
        <w:spacing w:after="0" w:line="194" w:lineRule="exact"/>
        <w:rPr>
          <w:rFonts w:ascii="Arial" w:cs="Arial" w:eastAsia="Arial" w:hAnsi="Arial"/>
          <w:sz w:val="18"/>
          <w:szCs w:val="18"/>
          <w:color w:val="auto"/>
        </w:rPr>
      </w:pPr>
    </w:p>
    <w:p>
      <w:pPr>
        <w:jc w:val="both"/>
        <w:ind w:left="660"/>
        <w:spacing w:after="0" w:line="237" w:lineRule="auto"/>
        <w:rPr>
          <w:rFonts w:ascii="Arial" w:cs="Arial" w:eastAsia="Arial" w:hAnsi="Arial"/>
          <w:sz w:val="18"/>
          <w:szCs w:val="18"/>
          <w:color w:val="auto"/>
        </w:rPr>
      </w:pPr>
      <w:r>
        <w:rPr>
          <w:rFonts w:ascii="Arial" w:cs="Arial" w:eastAsia="Arial" w:hAnsi="Arial"/>
          <w:sz w:val="18"/>
          <w:szCs w:val="18"/>
          <w:color w:val="auto"/>
        </w:rPr>
        <w:t>With respect to any Award under the Plan, no dividends (or dividend equivalents) shall be payable with respect to any shares of Stock underlying an Award until such Award (or the applicable part of the Award) has vested. Notwithstanding the foregoing, the Committee may provide a grantee with the right to the accrual of dividends (or dividend equivalents) on the unvested portion of an Award that may be payable (either in (A) cash, (B) like-kind property as that subject to the applicable dividend, if not cash, (C) the form of a dividend equivalent increase in the number of shares of Stock issuable upon vesting, or (D) a combination of the foregoing) upon the vesting of the Award (or subject portion thereof).</w:t>
      </w:r>
    </w:p>
    <w:p>
      <w:pPr>
        <w:spacing w:after="0" w:line="191"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Types of Awards</w:t>
      </w:r>
      <w:r>
        <w:rPr>
          <w:rFonts w:ascii="Arial" w:cs="Arial" w:eastAsia="Arial" w:hAnsi="Arial"/>
          <w:sz w:val="18"/>
          <w:szCs w:val="18"/>
          <w:color w:val="auto"/>
        </w:rPr>
        <w:t>. The Committee is authorized to grant the Awards described in this Section 6(b), under such terms and conditions as deemed by the Committee to be consistent with the purposes of the Plan. Such Awards may be granted with value and payment contingent upon Performance Goals. Each Award shall be evidenced by an Award Agreement containing such terms and conditions applicable to such Award as the Committee shall determine at the date of grant or thereafter.</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The Committee is authorized to grant Options to Grantees on the following terms and conditions:</w:t>
      </w:r>
    </w:p>
    <w:p>
      <w:pPr>
        <w:spacing w:after="0" w:line="198" w:lineRule="exact"/>
        <w:rPr>
          <w:rFonts w:ascii="Arial" w:cs="Arial" w:eastAsia="Arial" w:hAnsi="Arial"/>
          <w:sz w:val="18"/>
          <w:szCs w:val="18"/>
          <w:color w:val="auto"/>
        </w:rPr>
      </w:pPr>
    </w:p>
    <w:p>
      <w:pPr>
        <w:ind w:left="1300" w:hanging="320"/>
        <w:spacing w:after="0" w:line="246" w:lineRule="auto"/>
        <w:tabs>
          <w:tab w:leader="none" w:pos="1300" w:val="left"/>
        </w:tabs>
        <w:numPr>
          <w:ilvl w:val="3"/>
          <w:numId w:val="74"/>
        </w:numPr>
        <w:rPr>
          <w:rFonts w:ascii="Arial" w:cs="Arial" w:eastAsia="Arial" w:hAnsi="Arial"/>
          <w:sz w:val="18"/>
          <w:szCs w:val="18"/>
          <w:color w:val="auto"/>
        </w:rPr>
      </w:pPr>
      <w:r>
        <w:rPr>
          <w:rFonts w:ascii="Arial" w:cs="Arial" w:eastAsia="Arial" w:hAnsi="Arial"/>
          <w:sz w:val="18"/>
          <w:szCs w:val="18"/>
          <w:u w:val="single" w:color="auto"/>
          <w:color w:val="auto"/>
        </w:rPr>
        <w:t>Type of Award</w:t>
      </w:r>
      <w:r>
        <w:rPr>
          <w:rFonts w:ascii="Arial" w:cs="Arial" w:eastAsia="Arial" w:hAnsi="Arial"/>
          <w:sz w:val="18"/>
          <w:szCs w:val="18"/>
          <w:color w:val="auto"/>
        </w:rPr>
        <w:t>. The Award Agreement evidencing the grant of an Option under the Plan shall designate the Option as an ISO or an NQSO.</w:t>
      </w:r>
    </w:p>
    <w:p>
      <w:pPr>
        <w:spacing w:after="0" w:line="183" w:lineRule="exact"/>
        <w:rPr>
          <w:rFonts w:ascii="Arial" w:cs="Arial" w:eastAsia="Arial" w:hAnsi="Arial"/>
          <w:sz w:val="18"/>
          <w:szCs w:val="18"/>
          <w:color w:val="auto"/>
        </w:rPr>
      </w:pPr>
    </w:p>
    <w:p>
      <w:pPr>
        <w:jc w:val="both"/>
        <w:ind w:left="1300" w:hanging="320"/>
        <w:spacing w:after="0" w:line="237" w:lineRule="auto"/>
        <w:tabs>
          <w:tab w:leader="none" w:pos="1300" w:val="left"/>
        </w:tabs>
        <w:numPr>
          <w:ilvl w:val="3"/>
          <w:numId w:val="7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Stock purchasable under an Option shall be determined by the Committee, but in no event shall the exercise price of any Option be less than the Fair Market Value of a share of Stock on the date of grant of such Option. The exercise price for Stock subject to an Option may be paid in cash or by an exchange of Stock previously owned by the Grantee, through a “broker cashless exercise” procedure approved by the Committee, a combination of the above, or any other method approved by the Committee, in any case in an amount having a combined value equal to such exercise price.</w:t>
      </w:r>
    </w:p>
    <w:p>
      <w:pPr>
        <w:spacing w:after="0" w:line="191" w:lineRule="exact"/>
        <w:rPr>
          <w:rFonts w:ascii="Arial" w:cs="Arial" w:eastAsia="Arial" w:hAnsi="Arial"/>
          <w:sz w:val="18"/>
          <w:szCs w:val="18"/>
          <w:color w:val="auto"/>
        </w:rPr>
      </w:pPr>
    </w:p>
    <w:p>
      <w:pPr>
        <w:jc w:val="both"/>
        <w:ind w:left="1300" w:hanging="320"/>
        <w:spacing w:after="0" w:line="236" w:lineRule="auto"/>
        <w:tabs>
          <w:tab w:leader="none" w:pos="1300" w:val="left"/>
        </w:tabs>
        <w:numPr>
          <w:ilvl w:val="3"/>
          <w:numId w:val="74"/>
        </w:numPr>
        <w:rPr>
          <w:rFonts w:ascii="Arial" w:cs="Arial" w:eastAsia="Arial" w:hAnsi="Arial"/>
          <w:sz w:val="18"/>
          <w:szCs w:val="18"/>
          <w:color w:val="auto"/>
        </w:rPr>
      </w:pPr>
      <w:r>
        <w:rPr>
          <w:rFonts w:ascii="Arial" w:cs="Arial" w:eastAsia="Arial" w:hAnsi="Arial"/>
          <w:sz w:val="18"/>
          <w:szCs w:val="18"/>
          <w:u w:val="single" w:color="auto"/>
          <w:color w:val="auto"/>
        </w:rPr>
        <w:t>Term and Exercisability of Options</w:t>
      </w:r>
      <w:r>
        <w:rPr>
          <w:rFonts w:ascii="Arial" w:cs="Arial" w:eastAsia="Arial" w:hAnsi="Arial"/>
          <w:sz w:val="18"/>
          <w:szCs w:val="18"/>
          <w:color w:val="auto"/>
        </w:rPr>
        <w:t xml:space="preserve">. The date on which the Committee adopts a resolution expressly granting an Option shall be considered the day on which such Option is granted unless the Committee determines that a future date is advisable. Options shall be exercisable over the exercise period (which shall not exceed ten years from the date of grant), at such times and upon such conditions as the Committee may determine, as reflected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(i) subject to clause (ii) below, no Option granted under the Plan (other than Substitute Awards) shall vest prior to the first anniversary of the date on which the Option is granted and (ii) the Committee shall have the authority to accelerate the exercisability of any outstanding Option at such time and under such circumstances as it, in its sole discretion, deems appropriate. An Option may be exercised to the extent of any or all full shares of Stock as to which the Option has become exercisable, by giving written notice of such exercise to the Committee or its designated agent.</w:t>
      </w:r>
    </w:p>
    <w:p>
      <w:pPr>
        <w:spacing w:after="0" w:line="193" w:lineRule="exact"/>
        <w:rPr>
          <w:rFonts w:ascii="Arial" w:cs="Arial" w:eastAsia="Arial" w:hAnsi="Arial"/>
          <w:sz w:val="18"/>
          <w:szCs w:val="18"/>
          <w:color w:val="auto"/>
        </w:rPr>
      </w:pPr>
    </w:p>
    <w:p>
      <w:pPr>
        <w:jc w:val="both"/>
        <w:ind w:left="1300" w:hanging="320"/>
        <w:spacing w:after="0"/>
        <w:tabs>
          <w:tab w:leader="none" w:pos="1300" w:val="left"/>
        </w:tabs>
        <w:numPr>
          <w:ilvl w:val="3"/>
          <w:numId w:val="74"/>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Options may be subject to such other conditions including, but not limited to, restrictions on transferability of the shares of Stock acquired upon exercise of such Options, as the Committee may prescribe in its discretion or as may be required by applicable law.</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xml:space="preserve"> The Committee is authorized to grant SARs to Grantees on the following terms and conditions:</w:t>
      </w:r>
    </w:p>
    <w:p>
      <w:pPr>
        <w:spacing w:after="0" w:line="198" w:lineRule="exact"/>
        <w:rPr>
          <w:rFonts w:ascii="Arial" w:cs="Arial" w:eastAsia="Arial" w:hAnsi="Arial"/>
          <w:sz w:val="18"/>
          <w:szCs w:val="18"/>
          <w:color w:val="auto"/>
        </w:rPr>
      </w:pPr>
    </w:p>
    <w:p>
      <w:pPr>
        <w:jc w:val="both"/>
        <w:ind w:left="1300" w:hanging="320"/>
        <w:spacing w:after="0"/>
        <w:tabs>
          <w:tab w:leader="none" w:pos="1300" w:val="left"/>
        </w:tabs>
        <w:numPr>
          <w:ilvl w:val="3"/>
          <w:numId w:val="74"/>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SARs may be granted independently or in tandem with an Option at the time of grant of the related Option. An SAR granted in tandem with an Option shall be exercisable only to the extent the underlying Option is exercisable. Unless otherwise specified in the Award Agreement, payment of an SAR shall be made in Stock.</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3"/>
          <w:numId w:val="74"/>
        </w:numPr>
        <w:rPr>
          <w:rFonts w:ascii="Arial" w:cs="Arial" w:eastAsia="Arial" w:hAnsi="Arial"/>
          <w:sz w:val="18"/>
          <w:szCs w:val="18"/>
          <w:color w:val="auto"/>
        </w:rPr>
      </w:pPr>
      <w:r>
        <w:rPr>
          <w:rFonts w:ascii="Arial" w:cs="Arial" w:eastAsia="Arial" w:hAnsi="Arial"/>
          <w:sz w:val="18"/>
          <w:szCs w:val="18"/>
          <w:u w:val="single" w:color="auto"/>
          <w:color w:val="auto"/>
        </w:rPr>
        <w:t>Term and Exercisability of SARs</w:t>
      </w:r>
      <w:r>
        <w:rPr>
          <w:rFonts w:ascii="Arial" w:cs="Arial" w:eastAsia="Arial" w:hAnsi="Arial"/>
          <w:sz w:val="18"/>
          <w:szCs w:val="18"/>
          <w:color w:val="auto"/>
        </w:rPr>
        <w:t>. The date on which the Committee adopts a resolution expressly granting an SAR shall be considered the day on which such SAR is granted unless the Committee determines that a future date is advisable. SARs shall be exercisable over the exercise period (which shall not exceed ten years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ind w:left="1300"/>
        <w:spacing w:after="0" w:line="238" w:lineRule="auto"/>
        <w:rPr>
          <w:sz w:val="20"/>
          <w:szCs w:val="20"/>
          <w:color w:val="auto"/>
        </w:rPr>
      </w:pPr>
      <w:r>
        <w:rPr>
          <w:rFonts w:ascii="Arial" w:cs="Arial" w:eastAsia="Arial" w:hAnsi="Arial"/>
          <w:sz w:val="18"/>
          <w:szCs w:val="18"/>
          <w:color w:val="auto"/>
        </w:rPr>
        <w:t xml:space="preserve">from the date of grant), at such times and upon such conditions as the Committee may determine, as reflected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(i) subject to clause (ii) below, no SAR granted under the Plan (other than Substitute Awards) shall vest prior to the first anniversary of the date on which the SAR is granted and that the Committee shall have the authority to accelerate the exercisability of any outstanding SAR at such time and under such circumstances as it, in its sole discretion, deems appropriate.</w:t>
      </w:r>
    </w:p>
    <w:p>
      <w:pPr>
        <w:spacing w:after="0" w:line="189" w:lineRule="exact"/>
        <w:rPr>
          <w:sz w:val="20"/>
          <w:szCs w:val="20"/>
          <w:color w:val="auto"/>
        </w:rPr>
      </w:pPr>
    </w:p>
    <w:p>
      <w:pPr>
        <w:jc w:val="both"/>
        <w:ind w:left="1300" w:hanging="320"/>
        <w:spacing w:after="0" w:line="237" w:lineRule="auto"/>
        <w:tabs>
          <w:tab w:leader="none" w:pos="130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An SAR shall confer on the Grantee a right to receive an amount with respect to each share of Stock subject thereto, upon exercise thereof, equal to the excess of (1) the Fair Market Value of one share of Stock on the date of exercise over (2) the grant price of the SAR (which in the case of an SAR granted in tandem with an Option shall be equal to the exercise price of the underlying Option, and which in the case of any other SAR shall be such price as the Committee may determine but in no event shall be less than the Fair Market Value of a share of Stock on the date of grant of such SAR). A SAR may be exercised by giving written notice of such exercise to the Committee or its designated agent.</w:t>
      </w:r>
    </w:p>
    <w:p>
      <w:pPr>
        <w:spacing w:after="0" w:line="191"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 The Committee is authorized to grant Restricted Stock to Grantees on the following terms and conditions:</w:t>
      </w:r>
    </w:p>
    <w:p>
      <w:pPr>
        <w:spacing w:after="0" w:line="198" w:lineRule="exact"/>
        <w:rPr>
          <w:rFonts w:ascii="Arial" w:cs="Arial" w:eastAsia="Arial" w:hAnsi="Arial"/>
          <w:sz w:val="18"/>
          <w:szCs w:val="18"/>
          <w:color w:val="auto"/>
        </w:rPr>
      </w:pPr>
    </w:p>
    <w:p>
      <w:pPr>
        <w:jc w:val="both"/>
        <w:ind w:left="1300" w:hanging="320"/>
        <w:spacing w:after="0" w:line="236"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Stock shall be subject to such restrictions on transferability and other restrictions, if any, as the Committee may impose at the date of grant or thereafter, which restrictions may lapse separately or in combination at such times, under such circumstances, in such installments, or otherwise, as the Committee may determine. The Committee may place restrictions on Restricted Stock that shall lapse, in whole or in part, only upon the attainment of Performance Goals. Notwithstanding the above, (i) subject to clause (ii) below, no award of Restricted Stock granted under the Plan (other than Substitute Awards) shall vest prior to the first anniversary of the date on which such award is granted, and (ii) the Committee shall have the authority to accelerate the exercisability of any outstanding award of Restricted Stock at such time and under such circumstances as it, in its sole discretion, deems appropriate. Except to the extent restricted under the Award Agreement relating to the Restricted Stock, a Grantee granted Restricted Stock shall have all of the rights of a stockholder including, without limitation, the right to vote Restricted Stock and the right to receive dividends thereon.</w:t>
      </w:r>
    </w:p>
    <w:p>
      <w:pPr>
        <w:spacing w:after="0" w:line="193" w:lineRule="exact"/>
        <w:rPr>
          <w:rFonts w:ascii="Arial" w:cs="Arial" w:eastAsia="Arial" w:hAnsi="Arial"/>
          <w:sz w:val="18"/>
          <w:szCs w:val="18"/>
          <w:color w:val="auto"/>
        </w:rPr>
      </w:pPr>
    </w:p>
    <w:p>
      <w:pPr>
        <w:jc w:val="both"/>
        <w:ind w:left="1300" w:hanging="320"/>
        <w:spacing w:after="0" w:line="239"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Certificates for Stock.</w:t>
      </w:r>
      <w:r>
        <w:rPr>
          <w:rFonts w:ascii="Arial" w:cs="Arial" w:eastAsia="Arial" w:hAnsi="Arial"/>
          <w:sz w:val="18"/>
          <w:szCs w:val="18"/>
          <w:color w:val="auto"/>
        </w:rPr>
        <w:t xml:space="preserve"> Restricted Stock granted under the Plan may be evidenced in such manner as the Committee shall determine. If certificates representing Restricted Stock are registered in the name of the Grantee, such certificates shall bear an appropriate legend referring to the terms, conditions, and restrictions applicable to such Restricted Stock, and the Company shall retain physical possession of the certificate.</w:t>
      </w:r>
    </w:p>
    <w:p>
      <w:pPr>
        <w:spacing w:after="0" w:line="188"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xml:space="preserve"> The Committee is authorized to grant Restricted Stock Units to Grantees, subject to the following terms and conditions:</w:t>
      </w:r>
    </w:p>
    <w:p>
      <w:pPr>
        <w:spacing w:after="0" w:line="183" w:lineRule="exact"/>
        <w:rPr>
          <w:rFonts w:ascii="Arial" w:cs="Arial" w:eastAsia="Arial" w:hAnsi="Arial"/>
          <w:sz w:val="18"/>
          <w:szCs w:val="18"/>
          <w:color w:val="auto"/>
        </w:rPr>
      </w:pPr>
    </w:p>
    <w:p>
      <w:pPr>
        <w:jc w:val="both"/>
        <w:ind w:left="1300" w:hanging="320"/>
        <w:spacing w:after="0" w:line="237" w:lineRule="auto"/>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Conditions to Vesting</w:t>
      </w:r>
      <w:r>
        <w:rPr>
          <w:rFonts w:ascii="Arial" w:cs="Arial" w:eastAsia="Arial" w:hAnsi="Arial"/>
          <w:sz w:val="18"/>
          <w:szCs w:val="18"/>
          <w:color w:val="auto"/>
        </w:rPr>
        <w:t>. At the time of the grant of Restricted Stock Units, the Committee may impose such restrictions or conditions to the vesting of such Awards as it, in its discretion, deems appropriate, including, but not limited to, achievement of Performance Goals. Notwithstanding the above, (i) subject to clause (ii) below, no award of Restricted Stock Units granted under the Plan (other than Substitute Awards) shall vest prior to the first anniversary of the date on which such award is granted, and (ii) the Committee shall have the authority to accelerate the exercisability of any outstanding award of Restricted Stock Units at such time and under such circumstances as it, in its sole discretion, deems appropriate.</w:t>
      </w:r>
    </w:p>
    <w:p>
      <w:pPr>
        <w:spacing w:after="0" w:line="191" w:lineRule="exact"/>
        <w:rPr>
          <w:rFonts w:ascii="Arial" w:cs="Arial" w:eastAsia="Arial" w:hAnsi="Arial"/>
          <w:sz w:val="18"/>
          <w:szCs w:val="18"/>
          <w:color w:val="auto"/>
        </w:rPr>
      </w:pPr>
    </w:p>
    <w:p>
      <w:pPr>
        <w:jc w:val="both"/>
        <w:ind w:left="1300" w:hanging="320"/>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Benefit Upon Vesting</w:t>
      </w:r>
      <w:r>
        <w:rPr>
          <w:rFonts w:ascii="Arial" w:cs="Arial" w:eastAsia="Arial" w:hAnsi="Arial"/>
          <w:sz w:val="18"/>
          <w:szCs w:val="18"/>
          <w:color w:val="auto"/>
        </w:rPr>
        <w:t>. Unless otherwise provided in an Award Agreement, upon the vesting of a Restricted Stock Unit, there shall be delivered to the Grantee, within 30 days of the date on which such Award (or any portion thereof) vests, the number of shares of Stock equal to the number of shares of Stock equal to the number of Restricted Stock Units becoming so vested.</w:t>
      </w:r>
    </w:p>
    <w:p>
      <w:pPr>
        <w:spacing w:after="0" w:line="189" w:lineRule="exact"/>
        <w:rPr>
          <w:rFonts w:ascii="Arial" w:cs="Arial" w:eastAsia="Arial" w:hAnsi="Arial"/>
          <w:sz w:val="18"/>
          <w:szCs w:val="18"/>
          <w:color w:val="auto"/>
        </w:rPr>
      </w:pPr>
    </w:p>
    <w:p>
      <w:pPr>
        <w:jc w:val="both"/>
        <w:ind w:left="980" w:hanging="324"/>
        <w:spacing w:after="0" w:line="236"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Other Stock-or Cash-Based Awards</w:t>
      </w:r>
      <w:r>
        <w:rPr>
          <w:rFonts w:ascii="Arial" w:cs="Arial" w:eastAsia="Arial" w:hAnsi="Arial"/>
          <w:sz w:val="18"/>
          <w:szCs w:val="18"/>
          <w:color w:val="auto"/>
        </w:rPr>
        <w:t>. The Committee is authorized to grant Awards to Grantees in the form of Other Stock-Based Awards or Other Cash-Based Awards, as deemed by the Committee to be consistent with the purposes of the Plan. Awards granted pursuant to this paragraph may be granted with value and payment contingent upon the achievement of Performance Goals and, if so granted, such goals shall relate to periods of performance determined by the Committee in its sole discretion. The Committee shall determine the terms and conditions of such Awards at the date of grant or thereafter. The maximum amount that any Grantee may receive with respect to Other Cash-Based Awards pursuant to this Section 6(b)(v) in respect of any annual performance period is $10 million and for any other performance period in excess of one year, such amount multiplied by a fraction, the numerator of which is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ind w:left="980"/>
        <w:spacing w:after="0" w:line="237" w:lineRule="auto"/>
        <w:rPr>
          <w:sz w:val="20"/>
          <w:szCs w:val="20"/>
          <w:color w:val="auto"/>
        </w:rPr>
      </w:pPr>
      <w:r>
        <w:rPr>
          <w:rFonts w:ascii="Arial" w:cs="Arial" w:eastAsia="Arial" w:hAnsi="Arial"/>
          <w:sz w:val="18"/>
          <w:szCs w:val="18"/>
          <w:color w:val="auto"/>
        </w:rPr>
        <w:t>number of months in the performance period and the denominator of which is twelve. Payment in respect of Awards earned hereunder may be decreased or increased in the sole discretion of the Committee based on such factors as the Committee deems appropriate. The Committee may establish other such rules applicable to Other Stock- or Cash-Based Awards as it determines in its sole discretion. Notwithstanding the above, subject to clause (ii) below, no Other Stock-Based Award (other than Substitute Awards) shall vest prior to the first anniversary of the date on which such award is granted, and (ii) the Committee shall have the authority to accelerate the exercisability of any outstanding Other Stock-Based Award at such time and under such circumstances as it, in its sole discretion, deems appropriate.</w:t>
      </w:r>
    </w:p>
    <w:p>
      <w:pPr>
        <w:spacing w:after="0" w:line="190" w:lineRule="exact"/>
        <w:rPr>
          <w:sz w:val="20"/>
          <w:szCs w:val="20"/>
          <w:color w:val="auto"/>
        </w:rPr>
      </w:pPr>
    </w:p>
    <w:p>
      <w:pPr>
        <w:jc w:val="both"/>
        <w:ind w:left="980" w:hanging="324"/>
        <w:spacing w:after="0" w:line="236" w:lineRule="auto"/>
        <w:tabs>
          <w:tab w:leader="none" w:pos="980" w:val="left"/>
        </w:tabs>
        <w:numPr>
          <w:ilvl w:val="2"/>
          <w:numId w:val="77"/>
        </w:numPr>
        <w:rPr>
          <w:rFonts w:ascii="Arial" w:cs="Arial" w:eastAsia="Arial" w:hAnsi="Arial"/>
          <w:sz w:val="18"/>
          <w:szCs w:val="18"/>
          <w:color w:val="auto"/>
        </w:rPr>
      </w:pPr>
      <w:r>
        <w:rPr>
          <w:rFonts w:ascii="Arial" w:cs="Arial" w:eastAsia="Arial" w:hAnsi="Arial"/>
          <w:sz w:val="18"/>
          <w:szCs w:val="18"/>
          <w:u w:val="single" w:color="auto"/>
          <w:color w:val="auto"/>
        </w:rPr>
        <w:t>Exceptions to Minimum Vesting Restrictions</w:t>
      </w:r>
      <w:r>
        <w:rPr>
          <w:rFonts w:ascii="Arial" w:cs="Arial" w:eastAsia="Arial" w:hAnsi="Arial"/>
          <w:sz w:val="18"/>
          <w:szCs w:val="18"/>
          <w:color w:val="auto"/>
        </w:rPr>
        <w:t>. Notwithstanding anything to the contrary in the Plan, (A) the Committee may provide that minimum vesting restrictions provided above may lapse or be waived in connection with or following a participant’s death, disability, termination of service or change of control, (B) awards covering up to five (5%) of the shares of Stock available to be issued pursuant to Section 5 of the Plan, as determined on the Effective Date, may be granted under the Plan as unrestricted Shares or otherwise as awards with a performance period or vesting period of less than one year, and (C) for purposes of awards granted to non-employee directors, a vesting period shall be deemed to be one year if the awards are granted to non-employee directors in connection with their election or reelection to the Board at an annual meeting of shareholders and the awards vest on the next annual meeting of the Company’s shareholders, so long as the period between such meetings is not less than 50 weeks.</w:t>
      </w:r>
    </w:p>
    <w:p>
      <w:pPr>
        <w:spacing w:after="0" w:line="194" w:lineRule="exact"/>
        <w:rPr>
          <w:rFonts w:ascii="Arial" w:cs="Arial" w:eastAsia="Arial" w:hAnsi="Arial"/>
          <w:sz w:val="18"/>
          <w:szCs w:val="18"/>
          <w:color w:val="auto"/>
        </w:rPr>
      </w:pPr>
    </w:p>
    <w:p>
      <w:pPr>
        <w:jc w:val="both"/>
        <w:ind w:left="660" w:hanging="328"/>
        <w:spacing w:after="0" w:line="236" w:lineRule="auto"/>
        <w:tabs>
          <w:tab w:leader="none" w:pos="66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Except as otherwise set forth in the Award Agreement, each Award shall terminate immediately upon the Grantee’s termination of service with the Company or any of its Subsidiaries, except that the Grantee shall have 90 days following the date of such termination of service to exercise any portion of an Option or SAR that he could have exercised on the date of such termination of service;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such exercise must be accomplished prior to the expiration of the Award term. Notwithstanding the foregoing, except as otherwise set forth by the Committee in the Award Agreement, if the Grantee’s termination of service is due to his total and permanent disability (as defined in any agreement between the Grantee and the Company or, if no such agreement is in effect, as determined by the Committee in its good faith discretion) or death, the Grantee, or the representative of the estate of the Grantee, as the case may be, may exercise any portion of the Option or SAR which the Participant could have exercised on the date of such termination for a period of six months thereafter;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such exercise must be accomplished prior to the expiration of the Award term. Notwithstanding the foregoing, except as set forth by the Committee in the Award Agreement, in the event of a termination of the Grantee’s service with the Company or any of its Subsidiaries for Cause, the unexercised portion of the Option or SAR shall terminate immediately and the Grantee shall have no right thereafter to exercise any part of the Award.</w:t>
      </w:r>
    </w:p>
    <w:p>
      <w:pPr>
        <w:spacing w:after="0" w:line="159" w:lineRule="exact"/>
        <w:rPr>
          <w:rFonts w:ascii="Arial" w:cs="Arial" w:eastAsia="Arial" w:hAnsi="Arial"/>
          <w:sz w:val="18"/>
          <w:szCs w:val="18"/>
          <w:color w:val="auto"/>
        </w:rPr>
      </w:pPr>
    </w:p>
    <w:p>
      <w:pPr>
        <w:ind w:left="660" w:hanging="652"/>
        <w:spacing w:after="0"/>
        <w:tabs>
          <w:tab w:leader="none" w:pos="66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 Provisions</w:t>
      </w:r>
    </w:p>
    <w:p>
      <w:pPr>
        <w:spacing w:after="0" w:line="264" w:lineRule="exact"/>
        <w:rPr>
          <w:rFonts w:ascii="Arial" w:cs="Arial" w:eastAsia="Arial" w:hAnsi="Arial"/>
          <w:sz w:val="22"/>
          <w:szCs w:val="22"/>
          <w:b w:val="1"/>
          <w:bCs w:val="1"/>
          <w:color w:val="auto"/>
        </w:rPr>
      </w:pPr>
    </w:p>
    <w:p>
      <w:pPr>
        <w:jc w:val="both"/>
        <w:ind w:left="660" w:hanging="328"/>
        <w:spacing w:after="0" w:line="234"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Unless the applicable Award Agreement provides otherwise or in the case of Awards that do not constitute deferred compensation under Section 409A of the Code, unless otherwise determined by the Committee in its discretion, in the event of a Change in Control,</w:t>
      </w:r>
    </w:p>
    <w:p>
      <w:pPr>
        <w:spacing w:after="0" w:line="1" w:lineRule="exact"/>
        <w:rPr>
          <w:rFonts w:ascii="Arial" w:cs="Arial" w:eastAsia="Arial" w:hAnsi="Arial"/>
          <w:sz w:val="18"/>
          <w:szCs w:val="18"/>
          <w:color w:val="auto"/>
        </w:rPr>
      </w:pPr>
    </w:p>
    <w:p>
      <w:pPr>
        <w:jc w:val="both"/>
        <w:ind w:left="660" w:hanging="4"/>
        <w:spacing w:after="0" w:line="237" w:lineRule="auto"/>
        <w:tabs>
          <w:tab w:leader="none" w:pos="876" w:val="left"/>
        </w:tabs>
        <w:numPr>
          <w:ilvl w:val="2"/>
          <w:numId w:val="79"/>
        </w:numPr>
        <w:rPr>
          <w:rFonts w:ascii="Arial" w:cs="Arial" w:eastAsia="Arial" w:hAnsi="Arial"/>
          <w:sz w:val="18"/>
          <w:szCs w:val="18"/>
          <w:color w:val="auto"/>
        </w:rPr>
      </w:pPr>
      <w:r>
        <w:rPr>
          <w:rFonts w:ascii="Arial" w:cs="Arial" w:eastAsia="Arial" w:hAnsi="Arial"/>
          <w:sz w:val="18"/>
          <w:szCs w:val="18"/>
          <w:color w:val="auto"/>
        </w:rPr>
        <w:t>each Award outstanding as of the Change in Control shall be assumed, continued, or substituted, effective as of the consummation of the Change in Control, with a new award with an intrinsic value equivalent to that of the original Award and on terms at least as beneficial to the Grantee as those contained in the Grantee’s original Award Agreement (as determined by an independent third party) and (ii) in the event that, within two years following a Change in Control, the Grantee’s service with the Company and its affiliates is terminated (x) by the Company or any of its affiliates for any reason other than for Cause or (y) the Grantee as a result of a Constructive Discharge, all outstanding Awards granted to a Grantee which have not theretofore vested shall immediately vest and become exercisable and all restrictions on such Award shall immediately lapse.</w:t>
      </w:r>
    </w:p>
    <w:p>
      <w:pPr>
        <w:spacing w:after="0" w:line="189" w:lineRule="exact"/>
        <w:rPr>
          <w:rFonts w:ascii="Arial" w:cs="Arial" w:eastAsia="Arial" w:hAnsi="Arial"/>
          <w:sz w:val="18"/>
          <w:szCs w:val="18"/>
          <w:color w:val="auto"/>
        </w:rPr>
      </w:pPr>
    </w:p>
    <w:p>
      <w:pPr>
        <w:jc w:val="both"/>
        <w:ind w:left="660" w:hanging="328"/>
        <w:spacing w:after="0" w:line="236"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“Constructive Discharge” shall have the meaning assigned to such term (or a similar term) in any individual employment agreement or offer letter entered into between the Grantee and the Company or one of its Subsidiaries. If the Grantee has not entered into any such agreement, or such agreement does not define the term “Constructive Discharge,” a termination of service as a result of Constructive Discharge shall mean a termination of service by the Grantee from the Company and its Subsidiaries following either (i) a material reduction in the Grantee’s base compensation, (ii) a material adverse change in the nature or status of the Grantee’s duties or responsibilities from those in effect immediately prior to a Change in Control, or (iii) a relocation of more than 30 miles from the Grantee’s principal place of employment immediately prior to the Change in Control; provided, that, in each case, the Grantee shall not be permitted to terminate service as a result of the Constructive Discharge unless the Grantee provides the Company with written notice of the occurrence of the action constituting Constructive Discharge within 30 days following the occurrence of such action, the Grantee provides the Company with a minimum of 30 days following delivery of the written notice to cure such action, and the Grantee terminates service within 90 days following the occurrence of such action.</w:t>
      </w:r>
    </w:p>
    <w:p>
      <w:pPr>
        <w:spacing w:after="0" w:line="192" w:lineRule="exact"/>
        <w:rPr>
          <w:rFonts w:ascii="Arial" w:cs="Arial" w:eastAsia="Arial" w:hAnsi="Arial"/>
          <w:sz w:val="18"/>
          <w:szCs w:val="18"/>
          <w:color w:val="auto"/>
        </w:rPr>
      </w:pPr>
    </w:p>
    <w:p>
      <w:pPr>
        <w:ind w:left="660" w:hanging="328"/>
        <w:spacing w:after="0" w:line="246"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“Cause” shall have the meaning assigned to such term (or a similar term) in any individual employment agreement or offer letter entered into between the Grantee and the Company or one of its Subsidiaries. If the Grantee has not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entered into any such agreement, or such agreement does not define the term “Cause,” a termination of service for Cause shall mean:</w:t>
      </w:r>
    </w:p>
    <w:p>
      <w:pPr>
        <w:jc w:val="both"/>
        <w:ind w:left="660" w:hanging="4"/>
        <w:spacing w:after="0" w:line="239" w:lineRule="auto"/>
        <w:tabs>
          <w:tab w:leader="none" w:pos="882"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Grantee’s willful failure to substantially perform his duties as an employee of the Company or any of its Subsidiary (other than any such failure resulting from the Grantee’s incapacity due to physical or mental illness); (ii) any act of fraud, misappropriation, dishonesty, embezzlement or similar conduct against the Company or any of its Subsidiary; or (iii) conviction of a felony or any crime involving moral turpitude (which conviction, due to the passage of time or otherwise, is not subject to further appeal).</w:t>
      </w:r>
    </w:p>
    <w:p>
      <w:pPr>
        <w:spacing w:after="0" w:line="156" w:lineRule="exact"/>
        <w:rPr>
          <w:rFonts w:ascii="Arial" w:cs="Arial" w:eastAsia="Arial" w:hAnsi="Arial"/>
          <w:sz w:val="18"/>
          <w:szCs w:val="18"/>
          <w:color w:val="auto"/>
        </w:rPr>
      </w:pPr>
    </w:p>
    <w:p>
      <w:pPr>
        <w:ind w:left="660" w:hanging="652"/>
        <w:spacing w:after="0"/>
        <w:tabs>
          <w:tab w:leader="none" w:pos="6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64" w:lineRule="exact"/>
        <w:rPr>
          <w:rFonts w:ascii="Arial" w:cs="Arial" w:eastAsia="Arial" w:hAnsi="Arial"/>
          <w:sz w:val="22"/>
          <w:szCs w:val="22"/>
          <w:b w:val="1"/>
          <w:bCs w:val="1"/>
          <w:color w:val="auto"/>
        </w:rPr>
      </w:pPr>
    </w:p>
    <w:p>
      <w:pPr>
        <w:jc w:val="both"/>
        <w:ind w:left="660" w:hanging="328"/>
        <w:spacing w:after="0" w:line="236"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Awards shall not be transferable by a Grantee except by will or with the laws of descent and distribution and shall be exercisable during the lifetime of a Grantee only by such Grantee or his guardian or legal representative. Notwithstanding the foregoing, the Committee may, in its sole discretion, permit an Award to be transferred to a “family member” (within the meaning of Section A.1(a)(5) of the general instructions of Form S-8) for estate planning purposes and for no value, provided that such transfer shall only be valid upon execution of a written instrument in form and substance acceptable to the Committee in its sole discretion evidencing such transfer and the transferee’s acceptance thereof signed by the Grantee and the transferee, and provided, further, that such Award may not be subsequently transferred other than by will or by the laws of descent and distribution or to another “family member” (as permitted by the Committee in its sole discretion) in accordance with the terms of the Plan and the applicable Award agreement. In addition, an Award shall not be assigned, negotiated, pledged or hypothecated in any way (except as provided by law or herein), and an Award shall not be subject to execution, attachment or similar process. Upon any attempt to transfer an Award or in the event of any levy upon an Award by reason of any execution, attachment or similar process contrary to the provisions of the Plan or the applicable Award agreement, such transfer shall be void and of no effect and the Company shall have the right to disregard the same on its books and records and to issue “stop transfer” instructions to its transfer agent.</w:t>
      </w:r>
    </w:p>
    <w:p>
      <w:pPr>
        <w:spacing w:after="0" w:line="190" w:lineRule="exact"/>
        <w:rPr>
          <w:rFonts w:ascii="Arial" w:cs="Arial" w:eastAsia="Arial" w:hAnsi="Arial"/>
          <w:sz w:val="18"/>
          <w:szCs w:val="18"/>
          <w:color w:val="auto"/>
        </w:rPr>
      </w:pPr>
    </w:p>
    <w:p>
      <w:pPr>
        <w:jc w:val="both"/>
        <w:ind w:left="660" w:hanging="328"/>
        <w:spacing w:after="0" w:line="238"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etc</w:t>
      </w:r>
      <w:r>
        <w:rPr>
          <w:rFonts w:ascii="Arial" w:cs="Arial" w:eastAsia="Arial" w:hAnsi="Arial"/>
          <w:sz w:val="18"/>
          <w:szCs w:val="18"/>
          <w:color w:val="auto"/>
        </w:rPr>
        <w:t>. Nothing in the Plan or in any Award, any Award Agreement or other agreement entered into pursuant hereto shall confer upon any Grantee the right to continue in the employ or service of the Company or Subsidiary of the Company or to be entitled to any remuneration or benefits not set forth in the Plan or such Award Agreement or other agreement or to interfere with or limit in any way the right of the Company or any such Subsidiary to terminate such Grantee’s employment or independent contractor relationship.</w:t>
      </w:r>
    </w:p>
    <w:p>
      <w:pPr>
        <w:spacing w:after="0" w:line="189" w:lineRule="exact"/>
        <w:rPr>
          <w:rFonts w:ascii="Arial" w:cs="Arial" w:eastAsia="Arial" w:hAnsi="Arial"/>
          <w:sz w:val="18"/>
          <w:szCs w:val="18"/>
          <w:color w:val="auto"/>
        </w:rPr>
      </w:pPr>
    </w:p>
    <w:p>
      <w:pPr>
        <w:jc w:val="both"/>
        <w:ind w:left="660" w:hanging="328"/>
        <w:spacing w:after="0" w:line="236"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or any Subsidiary of the Company is authorized to withhold from any Award granted, any payment relating to an Award under the Plan, including from a distribution of Stock, or any other payment to a Grantee, amounts of withholding and other taxes due in connection with any transaction involving an Award, and to take such other action as the Committee may deem advisable to enable the Company and Grantees to satisfy obligations for the payment of withholding taxes and other tax obligations relating to any Award. This authority shall include authority to withhold or receive Stock or other property and to make cash payments in respect thereof in satisfaction of a Grantee’s tax obligations. The Committee may provide in the Award Agreement that in the event that a Grantee is required to pay any amount to be withheld in connection with the issuance of shares of Stock in settlement or exercise of an Award, such withholding and other taxes shall be satisfied with shares of Stock to be received upon settlement or exercise of such Award equal to the minimum amount required to be withheld.</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Stockholder Approval; Amendment and Termination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80" w:right="20" w:hanging="324"/>
        <w:spacing w:after="0" w:line="246" w:lineRule="auto"/>
        <w:tabs>
          <w:tab w:leader="none" w:pos="980"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Plan shall take effect upon its adoption by the Board (the “Effective Date”). Following the Effective Date, no awards shall be made under the Prior Plan.</w:t>
      </w:r>
    </w:p>
    <w:p>
      <w:pPr>
        <w:spacing w:after="0" w:line="183" w:lineRule="exact"/>
        <w:rPr>
          <w:sz w:val="20"/>
          <w:szCs w:val="20"/>
          <w:color w:val="auto"/>
        </w:rPr>
      </w:pPr>
    </w:p>
    <w:p>
      <w:pPr>
        <w:jc w:val="both"/>
        <w:ind w:left="980" w:hanging="324"/>
        <w:spacing w:after="0" w:line="238"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The Board may at any time and from time to time alter, amend, suspend, or terminate the Plan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determined by the Board, an amendment that requires stockholder approval in order for the Plan to comply with any law, regulation or stock exchange requirement shall not be effective unless approved by the requisite vote of stockholders. Notwithstanding the foregoing, no amendment to or termination of the Plan shall affect adversely any of the rights of any Grantee, without such Grantee’s consent, under any Award theretofore granted under the Plan.</w:t>
      </w:r>
    </w:p>
    <w:p>
      <w:pPr>
        <w:spacing w:after="0" w:line="189"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Expiration of Plan</w:t>
      </w:r>
      <w:r>
        <w:rPr>
          <w:rFonts w:ascii="Arial" w:cs="Arial" w:eastAsia="Arial" w:hAnsi="Arial"/>
          <w:sz w:val="18"/>
          <w:szCs w:val="18"/>
          <w:color w:val="auto"/>
        </w:rPr>
        <w:t>. Unless earlier terminated by the Board pursuant to the provisions of the Plan, the Plan shall expire on May 22, 2029, provided that no ISO may be granted under the Plan more than ten years after the date of adoption by the Board. No Awards shall be granted under the Plan after such expiration date. The expiration of the Plan shall not affect adversely any of the rights of any Grantee, without such Grantee’s consent, under any Award theretofore granted.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ind w:left="660" w:hanging="328"/>
        <w:spacing w:after="0" w:line="23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xml:space="preserve">. The Committee shall have the authority to establish such procedures and programs that it deems appropriate to provide Grantees with the ability to defer receipt of cash, Stock or other property payable with respect to Awards granted under the Plan; </w:t>
      </w:r>
      <w:r>
        <w:rPr>
          <w:rFonts w:ascii="Arial" w:cs="Arial" w:eastAsia="Arial" w:hAnsi="Arial"/>
          <w:sz w:val="18"/>
          <w:szCs w:val="18"/>
          <w:u w:val="single" w:color="auto"/>
          <w:color w:val="auto"/>
        </w:rPr>
        <w:t>provided, however</w:t>
      </w:r>
      <w:r>
        <w:rPr>
          <w:rFonts w:ascii="Arial" w:cs="Arial" w:eastAsia="Arial" w:hAnsi="Arial"/>
          <w:sz w:val="18"/>
          <w:szCs w:val="18"/>
          <w:color w:val="auto"/>
        </w:rPr>
        <w:t>, to the extent that such deferral is subject to Section 409A of the Code, the rules and procedures established by the Committee shall comply with Section 409A of the Code.</w:t>
      </w:r>
    </w:p>
    <w:p>
      <w:pPr>
        <w:spacing w:after="0" w:line="188"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Rights to Awards; No Stockholder Rights</w:t>
      </w:r>
      <w:r>
        <w:rPr>
          <w:rFonts w:ascii="Arial" w:cs="Arial" w:eastAsia="Arial" w:hAnsi="Arial"/>
          <w:sz w:val="18"/>
          <w:szCs w:val="18"/>
          <w:color w:val="auto"/>
        </w:rPr>
        <w:t>. No Grantee shall have any claim to be granted any Award under the Plan, and there is no obligation for uniformity of treatment of Grantees. Except as provided specifically herein, a Grantee or a transferee of an Award shall have no rights as a stockholder with respect to any shares of Stock covered by the Award until the date of the issuance of a Stock certificate to him for such shares or the issuance of shares to him in book-entry form.</w:t>
      </w:r>
    </w:p>
    <w:p>
      <w:pPr>
        <w:spacing w:after="0" w:line="188" w:lineRule="exact"/>
        <w:rPr>
          <w:rFonts w:ascii="Arial" w:cs="Arial" w:eastAsia="Arial" w:hAnsi="Arial"/>
          <w:sz w:val="18"/>
          <w:szCs w:val="18"/>
          <w:color w:val="auto"/>
        </w:rPr>
      </w:pPr>
    </w:p>
    <w:p>
      <w:pPr>
        <w:jc w:val="both"/>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constitute an “unfunded” plan for incentive and deferred compensation. With respect to any payments not yet made to a Grantee pursuant to an Award, nothing contained in the Plan or any Award shall give any such Grantee any rights that are greater than those of a general creditor of the Company.</w:t>
      </w:r>
    </w:p>
    <w:p>
      <w:pPr>
        <w:spacing w:after="0" w:line="189" w:lineRule="exact"/>
        <w:rPr>
          <w:rFonts w:ascii="Arial" w:cs="Arial" w:eastAsia="Arial" w:hAnsi="Arial"/>
          <w:sz w:val="18"/>
          <w:szCs w:val="18"/>
          <w:color w:val="auto"/>
        </w:rPr>
      </w:pPr>
    </w:p>
    <w:p>
      <w:pPr>
        <w:jc w:val="both"/>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of Stock shall be required to be issued or delivered pursuant to the Plan or any Award. The Committee shall determine whether cash, other Awards, or other property shall be issued or paid in lieu of such fractional shares of Stock or whether such fractional shares or any rights thereto shall be forfeited or otherwise eliminated.</w:t>
      </w:r>
    </w:p>
    <w:p>
      <w:pPr>
        <w:spacing w:after="0" w:line="189"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Regulations and Other Approvals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980" w:hanging="324"/>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obligation of the Company to sell or deliver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w:t>
      </w:r>
    </w:p>
    <w:p>
      <w:pPr>
        <w:spacing w:after="0" w:line="189" w:lineRule="exact"/>
        <w:rPr>
          <w:rFonts w:ascii="Arial" w:cs="Arial" w:eastAsia="Arial" w:hAnsi="Arial"/>
          <w:sz w:val="18"/>
          <w:szCs w:val="18"/>
          <w:color w:val="auto"/>
        </w:rPr>
      </w:pPr>
    </w:p>
    <w:p>
      <w:pPr>
        <w:jc w:val="both"/>
        <w:ind w:left="980" w:hanging="324"/>
        <w:spacing w:after="0" w:line="23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Award is subject to the requirement that, if at any time the Committee determines, in its absolute discretion, that the listing, registration or qualification of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Stock, no such Award shall be granted or payment made or Stock issued, in whole or in part, unless listing, registration, qualification, consent or approval has been effected or obtained free of any conditions not acceptable to the Committee.</w:t>
      </w:r>
    </w:p>
    <w:p>
      <w:pPr>
        <w:spacing w:after="0" w:line="191" w:lineRule="exact"/>
        <w:rPr>
          <w:rFonts w:ascii="Arial" w:cs="Arial" w:eastAsia="Arial" w:hAnsi="Arial"/>
          <w:sz w:val="18"/>
          <w:szCs w:val="18"/>
          <w:color w:val="auto"/>
        </w:rPr>
      </w:pPr>
    </w:p>
    <w:p>
      <w:pPr>
        <w:jc w:val="both"/>
        <w:ind w:left="980" w:hanging="324"/>
        <w:spacing w:after="0" w:line="238"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event that the disposition of Stock acquired pursuant to the Plan is not covered by a then current registration statement under the Securities Act and is not otherwise exempt from such registration, such Stock shall be restricted against transfer to the extent required by the Securities Act or regulations thereunder, and the Committee may require a Grantee receiving Stock pursuant to the Plan, as a condition precedent to receipt of such Stock, to represent to the Company in writing that the Stock acquired by such Grantee is acquired for investment only and not with a view to distribution.</w:t>
      </w:r>
    </w:p>
    <w:p>
      <w:pPr>
        <w:spacing w:after="0" w:line="189" w:lineRule="exact"/>
        <w:rPr>
          <w:rFonts w:ascii="Arial" w:cs="Arial" w:eastAsia="Arial" w:hAnsi="Arial"/>
          <w:sz w:val="18"/>
          <w:szCs w:val="18"/>
          <w:color w:val="auto"/>
        </w:rPr>
      </w:pPr>
    </w:p>
    <w:p>
      <w:pPr>
        <w:jc w:val="both"/>
        <w:ind w:left="980" w:hanging="324"/>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Committee may require a Grantee receiving Stock pursuant to the Plan, as a condition precedent to receipt of such Stock, to enter into a stockholder agreement or “lock-up” agreement in such form as the Committee shall determine is necessary or desirable to further the Company’s interests.</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determinations made and actions taken pursuant hereto shall be governed by the laws of the State of Delaware without giving effect to the conflict of laws principles thereof.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078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078470"/>
                    </a:xfrm>
                    <a:prstGeom prst="rect">
                      <a:avLst/>
                    </a:prstGeom>
                    <a:noFill/>
                  </pic:spPr>
                </pic:pic>
              </a:graphicData>
            </a:graphic>
          </wp:anchor>
        </w:drawing>
      </w:r>
    </w:p>
    <w:p>
      <w:pPr>
        <w:sectPr>
          <w:pgSz w:w="11900" w:h="16838" w:orient="portrait"/>
          <w:cols w:equalWidth="0" w:num="1">
            <w:col w:w="10219"/>
          </w:cols>
          <w:pgMar w:left="240" w:top="445" w:right="1440"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8148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8148955"/>
                    </a:xfrm>
                    <a:prstGeom prst="rect">
                      <a:avLst/>
                    </a:prstGeom>
                    <a:noFill/>
                  </pic:spPr>
                </pic:pic>
              </a:graphicData>
            </a:graphic>
          </wp:anchor>
        </w:drawing>
      </w:r>
    </w:p>
    <w:sectPr>
      <w:pgSz w:w="11900" w:h="16838" w:orient="portrait"/>
      <w:cols w:equalWidth="0" w:num="1">
        <w:col w:w="10219"/>
      </w:cols>
      <w:pgMar w:left="240" w:top="4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o"/>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o"/>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o"/>
      <w:numFmt w:val="bullet"/>
      <w:start w:val="1"/>
    </w:lvl>
    <w:lvl w:ilvl="1">
      <w:lvlJc w:val="left"/>
      <w:lvlText w:val="(%2)"/>
      <w:numFmt w:val="decimal"/>
      <w:start w:val="1"/>
    </w:lvl>
  </w:abstractNum>
  <w:abstractNum w:abstractNumId="5">
    <w:nsid w:val="57E4CCAF"/>
    <w:multiLevelType w:val="hybridMultilevel"/>
    <w:lvl w:ilvl="0">
      <w:lvlJc w:val="left"/>
      <w:lvlText w:val="%1."/>
      <w:numFmt w:val="decimal"/>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0"/>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bullet"/>
      <w:start w:val="1"/>
    </w:lvl>
  </w:abstractNum>
  <w:abstractNum w:abstractNumId="41">
    <w:nsid w:val="77AE35EB"/>
    <w:multiLevelType w:val="hybridMultilevel"/>
    <w:lvl w:ilvl="0">
      <w:lvlJc w:val="left"/>
      <w:lvlText w:val="(%1)"/>
      <w:numFmt w:val="lowerLetter"/>
      <w:start w:val="1"/>
    </w:lvl>
  </w:abstractNum>
  <w:abstractNum w:abstractNumId="42">
    <w:nsid w:val="579BE4F1"/>
    <w:multiLevelType w:val="hybridMultilevel"/>
    <w:lvl w:ilvl="0">
      <w:lvlJc w:val="left"/>
      <w:lvlText w:val="(%1)"/>
      <w:numFmt w:val="lowerLetter"/>
      <w:start w:val="1"/>
    </w:lvl>
  </w:abstractNum>
  <w:abstractNum w:abstractNumId="43">
    <w:nsid w:val="310C50B3"/>
    <w:multiLevelType w:val="hybridMultilevel"/>
    <w:lvl w:ilvl="0">
      <w:lvlJc w:val="left"/>
      <w:lvlText w:val="(%1)"/>
      <w:numFmt w:val="lowerLetter"/>
      <w:start w:val="4"/>
    </w:lvl>
  </w:abstractNum>
  <w:abstractNum w:abstractNumId="44">
    <w:nsid w:val="5FF87E05"/>
    <w:multiLevelType w:val="hybridMultilevel"/>
    <w:lvl w:ilvl="0">
      <w:lvlJc w:val="left"/>
      <w:lvlText w:val="(%1)"/>
      <w:numFmt w:val="lowerLetter"/>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1"/>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1)"/>
      <w:numFmt w:val="lowerLetter"/>
      <w:start w:val="1"/>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4"/>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2"/>
    </w:lvl>
  </w:abstractNum>
  <w:abstractNum w:abstractNumId="66">
    <w:nsid w:val="51D9C564"/>
    <w:multiLevelType w:val="hybridMultilevel"/>
    <w:lvl w:ilvl="0">
      <w:lvlJc w:val="left"/>
      <w:lvlText w:val="(%1)"/>
      <w:numFmt w:val="lowerLetter"/>
      <w:start w:val="1"/>
    </w:lvl>
    <w:lvl w:ilvl="1">
      <w:lvlJc w:val="left"/>
      <w:lvlText w:val="(%2)"/>
      <w:numFmt w:val="decimal"/>
      <w:start w:val="1"/>
    </w:lvl>
  </w:abstractNum>
  <w:abstractNum w:abstractNumId="67">
    <w:nsid w:val="613EFDC5"/>
    <w:multiLevelType w:val="hybridMultilevel"/>
    <w:lvl w:ilvl="0">
      <w:lvlJc w:val="left"/>
      <w:lvlText w:val="(%1)"/>
      <w:numFmt w:val="lowerLetter"/>
      <w:start w:val="5"/>
    </w:lvl>
  </w:abstractNum>
  <w:abstractNum w:abstractNumId="68">
    <w:nsid w:val="BF72B14"/>
    <w:multiLevelType w:val="hybridMultilevel"/>
    <w:lvl w:ilvl="0">
      <w:lvlJc w:val="left"/>
      <w:lvlText w:val="(%1)"/>
      <w:numFmt w:val="lowerLetter"/>
      <w:start w:val="18"/>
    </w:lvl>
  </w:abstractNum>
  <w:abstractNum w:abstractNumId="69">
    <w:nsid w:val="11447B73"/>
    <w:multiLevelType w:val="hybridMultilevel"/>
    <w:lvl w:ilvl="0">
      <w:lvlJc w:val="left"/>
      <w:lvlText w:val="%1"/>
      <w:numFmt w:val="decimal"/>
      <w:start w:val="1"/>
    </w:lvl>
    <w:lvl w:ilvl="1">
      <w:lvlJc w:val="left"/>
      <w:lvlText w:val="(%2)"/>
      <w:numFmt w:val="lowerLetter"/>
      <w:start w:val="27"/>
    </w:lvl>
  </w:abstractNum>
  <w:abstractNum w:abstractNumId="70">
    <w:nsid w:val="42963E5A"/>
    <w:multiLevelType w:val="hybridMultilevel"/>
    <w:lvl w:ilvl="0">
      <w:lvlJc w:val="left"/>
      <w:lvlText w:val="%1."/>
      <w:numFmt w:val="decimal"/>
      <w:start w:val="3"/>
    </w:lvl>
    <w:lvl w:ilvl="1">
      <w:lvlJc w:val="left"/>
      <w:lvlText w:val="%2"/>
      <w:numFmt w:val="lowerLetter"/>
      <w:start w:val="1"/>
    </w:lvl>
  </w:abstractNum>
  <w:abstractNum w:abstractNumId="71">
    <w:nsid w:val="A0382C5"/>
    <w:multiLevelType w:val="hybridMultilevel"/>
    <w:lvl w:ilvl="0">
      <w:lvlJc w:val="left"/>
      <w:lvlText w:val="%1."/>
      <w:numFmt w:val="decimal"/>
      <w:start w:val="4"/>
    </w:lvl>
  </w:abstractNum>
  <w:abstractNum w:abstractNumId="72">
    <w:nsid w:val="8F2B15E"/>
    <w:multiLevelType w:val="hybridMultilevel"/>
    <w:lvl w:ilvl="0">
      <w:lvlJc w:val="left"/>
      <w:lvlText w:val="%1."/>
      <w:numFmt w:val="decimal"/>
      <w:start w:val="5"/>
    </w:lvl>
  </w:abstractNum>
  <w:abstractNum w:abstractNumId="73">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4">
    <w:nsid w:val="3B0FD379"/>
    <w:multiLevelType w:val="hybridMultilevel"/>
    <w:lvl w:ilvl="0">
      <w:lvlJc w:val="left"/>
      <w:lvlText w:val="%1"/>
      <w:numFmt w:val="lowerRoman"/>
      <w:start w:val="1"/>
    </w:lvl>
    <w:lvl w:ilvl="1">
      <w:lvlJc w:val="left"/>
      <w:lvlText w:val="(%2)"/>
      <w:numFmt w:val="upperLetter"/>
      <w:start w:val="3"/>
    </w:lvl>
  </w:abstractNum>
  <w:abstractNum w:abstractNumId="75">
    <w:nsid w:val="68EB2F63"/>
    <w:multiLevelType w:val="hybridMultilevel"/>
    <w:lvl w:ilvl="0">
      <w:lvlJc w:val="left"/>
      <w:lvlText w:val="(%1)"/>
      <w:numFmt w:val="lowerRoman"/>
      <w:start w:val="3"/>
    </w:lvl>
    <w:lvl w:ilvl="1">
      <w:lvlJc w:val="left"/>
      <w:lvlText w:val="(%2)"/>
      <w:numFmt w:val="upperLetter"/>
      <w:start w:val="1"/>
    </w:lvl>
  </w:abstractNum>
  <w:abstractNum w:abstractNumId="76">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77">
    <w:nsid w:val="60B6DF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8">
    <w:nsid w:val="6A5EE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9">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0">
    <w:nsid w:val="7FFFCA1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81">
    <w:nsid w:val="1A27709E"/>
    <w:multiLevelType w:val="hybridMultilevel"/>
    <w:lvl w:ilvl="0">
      <w:lvlJc w:val="left"/>
      <w:lvlText w:val="%1"/>
      <w:numFmt w:val="lowerLetter"/>
      <w:start w:val="1"/>
    </w:lvl>
    <w:lvl w:ilvl="1">
      <w:lvlJc w:val="left"/>
      <w:lvlText w:val="(%2)"/>
      <w:numFmt w:val="lowerLetter"/>
      <w:start w:val="35"/>
    </w:lvl>
  </w:abstractNum>
  <w:abstractNum w:abstractNumId="82">
    <w:nsid w:val="71EA1109"/>
    <w:multiLevelType w:val="hybridMultilevel"/>
    <w:lvl w:ilvl="0">
      <w:lvlJc w:val="left"/>
      <w:lvlText w:val="(%1)"/>
      <w:numFmt w:val="lowerLetter"/>
      <w:start w:val="5"/>
    </w:lvl>
    <w:lvl w:ilvl="1">
      <w:lvlJc w:val="left"/>
      <w:lvlText w:val="%2"/>
      <w:numFmt w:val="lowerLetter"/>
      <w:start w:val="1"/>
    </w:lvl>
  </w:abstractNum>
  <w:abstractNum w:abstractNumId="83">
    <w:nsid w:val="100F59DC"/>
    <w:multiLevelType w:val="hybridMultilevel"/>
    <w:lvl w:ilvl="0">
      <w:lvlJc w:val="left"/>
      <w:lvlText w:val="(%1)"/>
      <w:numFmt w:val="lowerLetter"/>
      <w:start w:val="6"/>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2019-12-03T19:40:06Z</dcterms:created>
  <dcterms:modified xsi:type="dcterms:W3CDTF">2019-12-03T19:40:06Z</dcterms:modified>
</cp:coreProperties>
</file>