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Avis Budget Rental Car Funding (AESOP) Facilities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30, 2026 (the “Closing Date”), Avis Budget Group, Inc.’s (the “Company”, “we” or “our”) Avis Budget Rental Car Funding (AESOP) LLC subsidiary (“ABRCF”) completed an amendment and extension of its asset-backed variable-funding financing facilities, which provide a portion of the financing for our car rental fleet in the United States. This financing is comprised of the Series 2010-6 Notes facility and the Series 2015-3 Notes facility, and the notes are secured primarily by vehicles in our domestic fleet and other related assets. Pursuant to the amendments, excluding the Class R Notes, which are held by one of our subsidiaries, the aggregate amount of the Series 2010-6 Notes facility was increased from approximately $2.227 billion to $2.628 billion, and the aggregate amount of the Series 2015-3 Notes facility was increased from approximately $109 million to $132 million. These increased aggregate amounts will be reduced by $438 million and $22 million, respectively, on November 1, 2026. The Class A notes for each of the Series 2010-6 Notes facility and the Series 2015-3 Notes facility have a two-year term and the Class B notes for each of the Series 2010-6 Notes facility and the Series 2015-3 Notes facility have a one-year term.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amendments is qualified in its entirety by reference to the full text of the Fourth Amendment to Sixth Amended and Restated Series 2010-6 Supplement, a copy of which is attached hereto as Exhibit 10.1, and the Fourth Amendment to Fourth Amended and Restated Series 2015-3 Supplement, a copy of which is attached hereto as Exhibit 10.2, respectively, and, in each case, which is incorporated by reference herein.</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Certain purchasers of the notes, the trustee and their respective affiliates have performed, and may in the future perform, various commercial banking, investment banking and other financial advisory services for us and our subsidiaries for which they have received, and will receive, customary fees and expenses.</w:t>
      </w:r>
    </w:p>
    <w:p>
      <w:pPr>
        <w:spacing w:after="0" w:line="172"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information described above under Item 1.01 of this report with respect to the Fourth Amendment to the Sixth Amended and Restated Series 2010-6 Supplement and the Fourth Amendment to Fourth Amended and Restated Series 2015-3 Supplement is incorporated into this Item 2.03 by reference.</w:t>
      </w:r>
    </w:p>
    <w:p>
      <w:pPr>
        <w:spacing w:after="0" w:line="17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Fourth Amendment, dated as of April 30, 2026, to Sixth Amended and Restated Series 2010-6 Supplement, dated as of March 4, 2024,</w:t>
            </w:r>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by and among Avis Budget Rental Car Funding (AESOP) LLC, as Issuer, Avis Budget Car Rental, LLC, as Administrator, JPMorgan</w:t>
            </w:r>
          </w:p>
        </w:tc>
        <w:tc>
          <w:tcPr>
            <w:tcW w:w="10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Chase Bank, N.A., as Administrative Agent, the Non-Conduit Purchasers, the CP Conduit Purchasers, the Committed Note Purchasers,</w:t>
            </w:r>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APA Banks and the Funding Agents named therein and The Bank of New York Mellon Trust Company, N.A., as Trustee and as</w:t>
            </w:r>
          </w:p>
        </w:tc>
      </w:tr>
      <w:tr>
        <w:trPr>
          <w:trHeight w:val="196"/>
        </w:trPr>
        <w:tc>
          <w:tcPr>
            <w:tcW w:w="1480" w:type="dxa"/>
            <w:vAlign w:val="bottom"/>
          </w:tcPr>
          <w:p>
            <w:pPr>
              <w:spacing w:after="0"/>
              <w:rPr>
                <w:sz w:val="17"/>
                <w:szCs w:val="17"/>
                <w:color w:val="auto"/>
              </w:rPr>
            </w:pPr>
          </w:p>
        </w:tc>
        <w:tc>
          <w:tcPr>
            <w:tcW w:w="94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Series 2010-6 Agent.</w:t>
            </w:r>
          </w:p>
        </w:tc>
        <w:tc>
          <w:tcPr>
            <w:tcW w:w="320" w:type="dxa"/>
            <w:vAlign w:val="bottom"/>
            <w:gridSpan w:val="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Fourth Amendment, dated as of April 30, 2026, to Fourth Amended and Restated Series 2015-3 Supplement, dated as of March 4,</w:t>
            </w:r>
          </w:p>
        </w:tc>
        <w:tc>
          <w:tcPr>
            <w:tcW w:w="40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2024, by and among Avis Budget Rental Car Funding (AESOP) LLC, as Issuer, Avis Budget Car Rental, LLC, as Administrator,</w:t>
            </w:r>
          </w:p>
        </w:tc>
        <w:tc>
          <w:tcPr>
            <w:tcW w:w="50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JPMorgan Chase Bank, N.A., as Administrative Agent, the Non-Conduit Purchasers, the CP Conduit Purchasers, the Committed Note</w:t>
            </w:r>
          </w:p>
        </w:tc>
      </w:tr>
      <w:tr>
        <w:trPr>
          <w:trHeight w:val="196"/>
        </w:trPr>
        <w:tc>
          <w:tcPr>
            <w:tcW w:w="148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Purchasers, the APA Banks and the Funding Agents named therein and The Bank of New York Mellon Trust Company, N.A., as</w:t>
            </w:r>
          </w:p>
        </w:tc>
        <w:tc>
          <w:tcPr>
            <w:tcW w:w="40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Trustee and as Series 2015-3 Agent.</w:t>
            </w:r>
          </w:p>
        </w:tc>
      </w:tr>
      <w:tr>
        <w:trPr>
          <w:trHeight w:val="20"/>
        </w:trPr>
        <w:tc>
          <w:tcPr>
            <w:tcW w:w="148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r>
      <w:tr>
        <w:trPr>
          <w:trHeight w:val="45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FOURTH AMENDMENT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SIXTH AMENDED AND RESTATED SERIES 2010-6 SUPPLEMENT</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This FOURTH AMENDMENT TO THE SIXTH AMENDED AND RESTATED SERIES 2010-6 SUPPLEMENT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30, 2026 amends the Sixth Amended and Restated Series 2010-6 Supplement (as amended to date, the “</w:t>
      </w:r>
      <w:r>
        <w:rPr>
          <w:rFonts w:ascii="Times New Roman" w:cs="Times New Roman" w:eastAsia="Times New Roman" w:hAnsi="Times New Roman"/>
          <w:sz w:val="18"/>
          <w:szCs w:val="18"/>
          <w:u w:val="single" w:color="auto"/>
          <w:color w:val="auto"/>
        </w:rPr>
        <w:t>Series 2010-6 Supplement</w:t>
      </w:r>
      <w:r>
        <w:rPr>
          <w:rFonts w:ascii="Times New Roman" w:cs="Times New Roman" w:eastAsia="Times New Roman" w:hAnsi="Times New Roman"/>
          <w:sz w:val="18"/>
          <w:szCs w:val="18"/>
          <w:color w:val="auto"/>
        </w:rPr>
        <w:t>”), dated as of March 4, 2024, among AVIS BUDGET RENTAL CAR FUNDING (AESOP) LLC, a special purpose limited liability company 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AVIS BUDGET CAR RENTAL, LLC, a limited liability company established under the laws of Delaware, as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JPMORGAN CHASE BANK, N.A., a national banking association, as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several banks set forth on Schedule I thereto as Non-Conduit Purchasers (each, a “</w:t>
      </w:r>
      <w:r>
        <w:rPr>
          <w:rFonts w:ascii="Times New Roman" w:cs="Times New Roman" w:eastAsia="Times New Roman" w:hAnsi="Times New Roman"/>
          <w:sz w:val="18"/>
          <w:szCs w:val="18"/>
          <w:u w:val="single" w:color="auto"/>
          <w:color w:val="auto"/>
        </w:rPr>
        <w:t>Non-Conduit Purchaser</w:t>
      </w:r>
      <w:r>
        <w:rPr>
          <w:rFonts w:ascii="Times New Roman" w:cs="Times New Roman" w:eastAsia="Times New Roman" w:hAnsi="Times New Roman"/>
          <w:sz w:val="18"/>
          <w:szCs w:val="18"/>
          <w:color w:val="auto"/>
        </w:rPr>
        <w:t>”), the several commercial paper conduits listed on Schedule I thereto (each, a “</w:t>
      </w:r>
      <w:r>
        <w:rPr>
          <w:rFonts w:ascii="Times New Roman" w:cs="Times New Roman" w:eastAsia="Times New Roman" w:hAnsi="Times New Roman"/>
          <w:sz w:val="18"/>
          <w:szCs w:val="18"/>
          <w:u w:val="single" w:color="auto"/>
          <w:color w:val="auto"/>
        </w:rPr>
        <w:t>CP Conduit Purchaser</w:t>
      </w:r>
      <w:r>
        <w:rPr>
          <w:rFonts w:ascii="Times New Roman" w:cs="Times New Roman" w:eastAsia="Times New Roman" w:hAnsi="Times New Roman"/>
          <w:sz w:val="18"/>
          <w:szCs w:val="18"/>
          <w:color w:val="auto"/>
        </w:rPr>
        <w:t>”), the several banks set forth opposite the name of each CP Conduit Purchaser on Schedule I thereto (each, an “</w:t>
      </w:r>
      <w:r>
        <w:rPr>
          <w:rFonts w:ascii="Times New Roman" w:cs="Times New Roman" w:eastAsia="Times New Roman" w:hAnsi="Times New Roman"/>
          <w:sz w:val="18"/>
          <w:szCs w:val="18"/>
          <w:u w:val="single" w:color="auto"/>
          <w:color w:val="auto"/>
        </w:rPr>
        <w:t>APA Bank</w:t>
      </w:r>
      <w:r>
        <w:rPr>
          <w:rFonts w:ascii="Times New Roman" w:cs="Times New Roman" w:eastAsia="Times New Roman" w:hAnsi="Times New Roman"/>
          <w:sz w:val="18"/>
          <w:szCs w:val="18"/>
          <w:color w:val="auto"/>
        </w:rPr>
        <w:t>” with respect to such CP Conduit Purchaser), the several agent banks set forth opposite the name of each CP Conduit Purchaser on Schedule I thereto (each, a “</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with respect to such CP Conduit Purchaser), the entities set forth on Schedule I thereto as Committed Note Purchasers (each, a “</w:t>
      </w:r>
      <w:r>
        <w:rPr>
          <w:rFonts w:ascii="Times New Roman" w:cs="Times New Roman" w:eastAsia="Times New Roman" w:hAnsi="Times New Roman"/>
          <w:sz w:val="18"/>
          <w:szCs w:val="18"/>
          <w:u w:val="single" w:color="auto"/>
          <w:color w:val="auto"/>
        </w:rPr>
        <w:t>Committed Note Purchaser</w:t>
      </w:r>
      <w:r>
        <w:rPr>
          <w:rFonts w:ascii="Times New Roman" w:cs="Times New Roman" w:eastAsia="Times New Roman" w:hAnsi="Times New Roman"/>
          <w:sz w:val="18"/>
          <w:szCs w:val="18"/>
          <w:color w:val="auto"/>
        </w:rPr>
        <w:t>”), THE BANK OF NEW YORK MELLON TRUST COMPANY, N.A., a national banking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agent for the benefit of the Series 2010-6 Noteholders (in such capacity, the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2010-6 Agent</w:t>
      </w:r>
      <w:r>
        <w:rPr>
          <w:rFonts w:ascii="Times New Roman" w:cs="Times New Roman" w:eastAsia="Times New Roman" w:hAnsi="Times New Roman"/>
          <w:sz w:val="18"/>
          <w:szCs w:val="18"/>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All capitalized terms used herein and not otherwise defined herein shall have the respective meanings provided therefor in the Definitions List attached as Schedule I to the Base Indenture (as amended through the date hereof) or the Series 2010-6 Supplement,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12.2 of the Base Indenture, any Supplement thereto may be amended with the consent of ABRCF, the Trustee, any applicable Enhancement Provider and in connection with certain amendments, either the Required Noteholders of a Series of Notes or each affected Noteholder, as applicable;</w:t>
      </w:r>
    </w:p>
    <w:p>
      <w:pPr>
        <w:spacing w:after="0" w:line="176"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11.11 of the Series 2010-6 Supplement, (x) the Series 2010-6 Supplement may be amended in accordance with Section 12.2 of the Base Indenture and (y) the requirement contained in Section 12.2 of the Base Indenture for consent by the Required Noteholders to the amendment of the Series 2010-6 Supplement shall be satisfied upon attaining the consent of the Requisite Noteholders;</w:t>
      </w:r>
    </w:p>
    <w:p>
      <w:pPr>
        <w:spacing w:after="0" w:line="176" w:lineRule="exact"/>
        <w:rPr>
          <w:sz w:val="20"/>
          <w:szCs w:val="20"/>
          <w:color w:val="auto"/>
        </w:rPr>
      </w:pPr>
    </w:p>
    <w:p>
      <w:pPr>
        <w:jc w:val="both"/>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the parties desire to amend the Series 2010-6 Supplement to (i) extend the expiry date with respect to the Class A Notes and the Class B Notes, (ii) extend the Reduction Date, (iii) replace Schedule I thereto with a new Schedule I in the form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Amendment, (iv) revise the definitions and requirements associated with the acquisition and maintenance of the Series 2010-6 Interest Rate Caps given the occurrence of the Interest Rate Cap Expiry Date, (v) revise certain definitions related to the Enhancement, and (vi) replace Exhibit J thereto with new Exhibit J in the form of Schedule B to this Amendment;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WHEREAS, ABRCF has requested the Trustee, the Series 2010-6 Agent, the Administrator, the Administrative Agent and the Series 2010-6 Noteholders to, and, upon the effectiveness of this Amendment, ABRCF, the Trustee, the Series 2010-6 Agent, the Administrator, the Administrative Agent and each Series 2010-6 Noteholder have agreed to, make the amendments described above as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right="40" w:firstLine="1304"/>
        <w:spacing w:after="0" w:line="282" w:lineRule="auto"/>
        <w:tabs>
          <w:tab w:leader="none" w:pos="18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Definitions</w:t>
      </w:r>
      <w:r>
        <w:rPr>
          <w:rFonts w:ascii="Times New Roman" w:cs="Times New Roman" w:eastAsia="Times New Roman" w:hAnsi="Times New Roman"/>
          <w:sz w:val="18"/>
          <w:szCs w:val="18"/>
          <w:color w:val="auto"/>
        </w:rPr>
        <w:t>. The following definitions are hereby amended and restated as follows, (i) by deleting the text thereof which is lined out and (ii) by inserting the text thereof which is double underlined:</w:t>
      </w:r>
    </w:p>
    <w:p>
      <w:pPr>
        <w:spacing w:after="0" w:line="162" w:lineRule="exact"/>
        <w:rPr>
          <w:sz w:val="20"/>
          <w:szCs w:val="20"/>
          <w:color w:val="auto"/>
        </w:rPr>
      </w:pPr>
    </w:p>
    <w:p>
      <w:pPr>
        <w:ind w:left="660"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Scheduled Expiry Date</w:t>
      </w:r>
      <w:r>
        <w:rPr>
          <w:rFonts w:ascii="Times New Roman" w:cs="Times New Roman" w:eastAsia="Times New Roman" w:hAnsi="Times New Roman"/>
          <w:sz w:val="18"/>
          <w:szCs w:val="18"/>
          <w:color w:val="auto"/>
        </w:rPr>
        <w:t xml:space="preserve">” means, with respect to any Purchaser Group of the Class A Notes, </w:t>
      </w:r>
      <w:r>
        <w:rPr>
          <w:rFonts w:ascii="Times New Roman" w:cs="Times New Roman" w:eastAsia="Times New Roman" w:hAnsi="Times New Roman"/>
          <w:sz w:val="18"/>
          <w:szCs w:val="18"/>
          <w:color w:val="auto"/>
          <w:strike w:val="1"/>
        </w:rPr>
        <w:t>April 1, 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April 30, 2028</w:t>
      </w:r>
      <w:r>
        <w:rPr>
          <w:rFonts w:ascii="Times New Roman" w:cs="Times New Roman" w:eastAsia="Times New Roman" w:hAnsi="Times New Roman"/>
          <w:sz w:val="18"/>
          <w:szCs w:val="18"/>
          <w:color w:val="auto"/>
        </w:rPr>
        <w:t>, as such date may be extended in accordance with Section 2.6(b).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-185420</wp:posOffset>
            </wp:positionV>
            <wp:extent cx="669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142" w:lineRule="exact"/>
        <w:rPr>
          <w:sz w:val="20"/>
          <w:szCs w:val="20"/>
          <w:color w:val="auto"/>
        </w:rPr>
      </w:pPr>
    </w:p>
    <w:p>
      <w:pPr>
        <w:ind w:left="660"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Scheduled Expiry Date</w:t>
      </w:r>
      <w:r>
        <w:rPr>
          <w:rFonts w:ascii="Times New Roman" w:cs="Times New Roman" w:eastAsia="Times New Roman" w:hAnsi="Times New Roman"/>
          <w:sz w:val="18"/>
          <w:szCs w:val="18"/>
          <w:color w:val="auto"/>
        </w:rPr>
        <w:t xml:space="preserve">” means, with respect to any Purchaser Group of the Class B Notes, </w:t>
      </w:r>
      <w:r>
        <w:rPr>
          <w:rFonts w:ascii="Times New Roman" w:cs="Times New Roman" w:eastAsia="Times New Roman" w:hAnsi="Times New Roman"/>
          <w:sz w:val="18"/>
          <w:szCs w:val="18"/>
          <w:color w:val="auto"/>
          <w:strike w:val="1"/>
        </w:rPr>
        <w:t>April 30,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April 30, 2027</w:t>
      </w:r>
      <w:r>
        <w:rPr>
          <w:rFonts w:ascii="Times New Roman" w:cs="Times New Roman" w:eastAsia="Times New Roman" w:hAnsi="Times New Roman"/>
          <w:sz w:val="18"/>
          <w:szCs w:val="18"/>
          <w:color w:val="auto"/>
        </w:rPr>
        <w:t>, as such date may be extended in accordance with Section 2.6(b).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-185420</wp:posOffset>
            </wp:positionV>
            <wp:extent cx="669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 Date</w:t>
      </w:r>
      <w:r>
        <w:rPr>
          <w:rFonts w:ascii="Times New Roman" w:cs="Times New Roman" w:eastAsia="Times New Roman" w:hAnsi="Times New Roman"/>
          <w:sz w:val="18"/>
          <w:szCs w:val="18"/>
          <w:color w:val="auto"/>
        </w:rPr>
        <w:t xml:space="preserve">” means November 1, </w:t>
      </w:r>
      <w:r>
        <w:rPr>
          <w:rFonts w:ascii="Times New Roman" w:cs="Times New Roman" w:eastAsia="Times New Roman" w:hAnsi="Times New Roman"/>
          <w:sz w:val="18"/>
          <w:szCs w:val="18"/>
          <w:color w:val="auto"/>
          <w:strike w:val="1"/>
        </w:rPr>
        <w:t>2025</w:t>
      </w:r>
      <w:r>
        <w:rPr>
          <w:rFonts w:ascii="Times New Roman" w:cs="Times New Roman" w:eastAsia="Times New Roman" w:hAnsi="Times New Roman"/>
          <w:sz w:val="18"/>
          <w:szCs w:val="18"/>
          <w:u w:val="single" w:color="auto"/>
          <w:color w:val="auto"/>
        </w:rPr>
        <w:t>2026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A DBRS Below Investment Grade Non-Program Enhancement Rate</w:t>
      </w:r>
      <w:r>
        <w:rPr>
          <w:rFonts w:ascii="Times New Roman" w:cs="Times New Roman" w:eastAsia="Times New Roman" w:hAnsi="Times New Roman"/>
          <w:sz w:val="18"/>
          <w:szCs w:val="18"/>
          <w:color w:val="auto"/>
        </w:rPr>
        <w:t xml:space="preserve">” means, as of any date of determination, the sum of (a) </w:t>
      </w:r>
      <w:r>
        <w:rPr>
          <w:rFonts w:ascii="Times New Roman" w:cs="Times New Roman" w:eastAsia="Times New Roman" w:hAnsi="Times New Roman"/>
          <w:sz w:val="18"/>
          <w:szCs w:val="18"/>
          <w:color w:val="auto"/>
          <w:strike w:val="1"/>
        </w:rPr>
        <w:t>(1) if such date of determination occurs before the Series 2010-6 Interest Rate Cap Expiry Date, 38.25% or (2)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on or after the Series 2010-6 Interest Rate Cap Expiry Date, 38.25</w:t>
      </w:r>
      <w:r>
        <w:rPr>
          <w:rFonts w:ascii="Times New Roman" w:cs="Times New Roman" w:eastAsia="Times New Roman" w:hAnsi="Times New Roman"/>
          <w:sz w:val="18"/>
          <w:szCs w:val="18"/>
          <w:u w:val="single" w:color="auto"/>
          <w:color w:val="auto"/>
        </w:rPr>
        <w:t>37.50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2010-6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2010-6 Excess Tesla 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-715010</wp:posOffset>
            </wp:positionV>
            <wp:extent cx="257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2"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A DBRS Below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date of determination occurs before the Series 2010-6 Interest Rate Cap Expiry Date, 37.00% or (b) if such date of determination occurs on or after the Series 2010-6 Interest Rate Cap Expiry Date, 37.00%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A DBRS Investment Grade Non-Program Enhancement Rate</w:t>
      </w:r>
      <w:r>
        <w:rPr>
          <w:rFonts w:ascii="Times New Roman" w:cs="Times New Roman" w:eastAsia="Times New Roman" w:hAnsi="Times New Roman"/>
          <w:sz w:val="18"/>
          <w:szCs w:val="18"/>
          <w:color w:val="auto"/>
        </w:rPr>
        <w:t>” means, as of any date of determination, the sum of</w:t>
      </w:r>
    </w:p>
    <w:p>
      <w:pPr>
        <w:spacing w:after="0" w:line="27" w:lineRule="exact"/>
        <w:rPr>
          <w:sz w:val="20"/>
          <w:szCs w:val="20"/>
          <w:color w:val="auto"/>
        </w:rPr>
      </w:pPr>
    </w:p>
    <w:p>
      <w:pPr>
        <w:ind w:left="660" w:right="120" w:hanging="4"/>
        <w:spacing w:after="0" w:line="255" w:lineRule="auto"/>
        <w:tabs>
          <w:tab w:leader="none" w:pos="9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(1) if such date of determination occurs before the Series 2010-6 Interest Rate Cap Expiry Date, 29.25% or (2) if such date of determination occurs on or after the Series 2010-6 Interest Rate Cap Expiry Date, 29.25</w:t>
      </w:r>
      <w:r>
        <w:rPr>
          <w:rFonts w:ascii="Times New Roman" w:cs="Times New Roman" w:eastAsia="Times New Roman" w:hAnsi="Times New Roman"/>
          <w:sz w:val="18"/>
          <w:szCs w:val="18"/>
          <w:u w:val="single" w:color="auto"/>
          <w:color w:val="auto"/>
          <w:strike w:val="1"/>
        </w:rPr>
        <w:t>29.00</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 </w:t>
      </w:r>
      <w:r>
        <w:rPr>
          <w:rFonts w:ascii="Times New Roman" w:cs="Times New Roman" w:eastAsia="Times New Roman" w:hAnsi="Times New Roman"/>
          <w:sz w:val="18"/>
          <w:szCs w:val="18"/>
          <w:u w:val="single" w:color="auto"/>
          <w:color w:val="auto"/>
          <w:strike w:val="1"/>
        </w:rPr>
        <w:t>and</w:t>
      </w:r>
      <w:r>
        <w:rPr>
          <w:rFonts w:ascii="Times New Roman" w:cs="Times New Roman" w:eastAsia="Times New Roman" w:hAnsi="Times New Roman"/>
          <w:sz w:val="18"/>
          <w:szCs w:val="18"/>
          <w:color w:val="auto"/>
          <w:strike w:val="1"/>
        </w:rPr>
        <w:t xml:space="preserve"> (b) the greater of (x) the highest, for any calendar month within the preceding twelve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-152400</wp:posOffset>
            </wp:positionV>
            <wp:extent cx="257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5" w:name="page6"/>
    <w:bookmarkEnd w:id="5"/>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2010-6 Excess Tesla Percentage and (y)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A DBRS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before the Series 2010-6 Interest Rate Cap Expiry Date, 14.00% or (b) if such date of determination occurs on or after the Series 2010-6 Interest Rate Cap Expiry Date, 14.00</w:t>
      </w:r>
      <w:r>
        <w:rPr>
          <w:rFonts w:ascii="Times New Roman" w:cs="Times New Roman" w:eastAsia="Times New Roman" w:hAnsi="Times New Roman"/>
          <w:sz w:val="18"/>
          <w:szCs w:val="18"/>
          <w:u w:val="single" w:color="auto"/>
          <w:color w:val="auto"/>
          <w:strike w:val="1"/>
        </w:rPr>
        <w:t>12.00</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-21590</wp:posOffset>
            </wp:positionV>
            <wp:extent cx="257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ind w:left="4"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A DBRS Trucks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occurs before the Series 2010-6 Interest Rate Cap Expiry Date, 55.75% or (b) if such date of determination occurs on or after the Series 2010-6 Interest Rate Cap Expiry Date, 55.75%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176" w:lineRule="exact"/>
        <w:rPr>
          <w:sz w:val="20"/>
          <w:szCs w:val="20"/>
          <w:color w:val="auto"/>
        </w:rPr>
      </w:pPr>
    </w:p>
    <w:p>
      <w:pPr>
        <w:ind w:left="4" w:right="4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B DBRS Below Investment Grade Non-Program Enhancement Rate</w:t>
      </w:r>
      <w:r>
        <w:rPr>
          <w:rFonts w:ascii="Times New Roman" w:cs="Times New Roman" w:eastAsia="Times New Roman" w:hAnsi="Times New Roman"/>
          <w:sz w:val="18"/>
          <w:szCs w:val="18"/>
          <w:color w:val="auto"/>
        </w:rPr>
        <w:t xml:space="preserve">” means, as of any date of determination, the sum of (a) </w:t>
      </w:r>
      <w:r>
        <w:rPr>
          <w:rFonts w:ascii="Times New Roman" w:cs="Times New Roman" w:eastAsia="Times New Roman" w:hAnsi="Times New Roman"/>
          <w:sz w:val="18"/>
          <w:szCs w:val="18"/>
          <w:color w:val="auto"/>
          <w:strike w:val="1"/>
        </w:rPr>
        <w:t>(1) if such date of determination occurs before the Series 2010-6 Interest Rate Cap Expiry Date, 28.75% or (2)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on or after the Series 2010-6 Interest Rate Cap Expiry Date, 28.75</w:t>
      </w:r>
      <w:r>
        <w:rPr>
          <w:rFonts w:ascii="Times New Roman" w:cs="Times New Roman" w:eastAsia="Times New Roman" w:hAnsi="Times New Roman"/>
          <w:sz w:val="18"/>
          <w:szCs w:val="18"/>
          <w:u w:val="single" w:color="auto"/>
          <w:color w:val="auto"/>
        </w:rPr>
        <w:t>28.25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2010-6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2010-6 Excess Tesla 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-715010</wp:posOffset>
            </wp:positionV>
            <wp:extent cx="257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2" w:lineRule="exact"/>
        <w:rPr>
          <w:sz w:val="20"/>
          <w:szCs w:val="20"/>
          <w:color w:val="auto"/>
        </w:rPr>
      </w:pPr>
    </w:p>
    <w:p>
      <w:pPr>
        <w:ind w:left="4"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B DBRS Below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date of determination occurs before the Series 2010-6 Interest Rate Cap Expiry Date, 27.75% or (b) if such date of determination occurs on or after the Series 2010-6 Interest Rate Cap Expiry Date, 27.75%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B DBRS Investment Grade Non-Program Enhancement Rate</w:t>
      </w:r>
      <w:r>
        <w:rPr>
          <w:rFonts w:ascii="Times New Roman" w:cs="Times New Roman" w:eastAsia="Times New Roman" w:hAnsi="Times New Roman"/>
          <w:sz w:val="18"/>
          <w:szCs w:val="18"/>
          <w:color w:val="auto"/>
        </w:rPr>
        <w:t>” means, as of any date of determination, the sum of</w:t>
      </w:r>
    </w:p>
    <w:p>
      <w:pPr>
        <w:spacing w:after="0" w:line="27" w:lineRule="exact"/>
        <w:rPr>
          <w:sz w:val="20"/>
          <w:szCs w:val="20"/>
          <w:color w:val="auto"/>
        </w:rPr>
      </w:pPr>
    </w:p>
    <w:p>
      <w:pPr>
        <w:ind w:left="4" w:right="160" w:hanging="4"/>
        <w:spacing w:after="0" w:line="253" w:lineRule="auto"/>
        <w:tabs>
          <w:tab w:leader="none" w:pos="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(1) if such date of determination occurs before the Series 2010-6 Interest Rate Cap Expiry Date, 21.75% or (2) if such date of determination occurs on or after the Series 2010-6 Interest Rate Cap Expiry Date, 21.75</w:t>
      </w:r>
      <w:r>
        <w:rPr>
          <w:rFonts w:ascii="Times New Roman" w:cs="Times New Roman" w:eastAsia="Times New Roman" w:hAnsi="Times New Roman"/>
          <w:sz w:val="18"/>
          <w:szCs w:val="18"/>
          <w:u w:val="single" w:color="auto"/>
          <w:color w:val="auto"/>
          <w:strike w:val="1"/>
        </w:rPr>
        <w:t>21.65</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 </w:t>
      </w:r>
      <w:r>
        <w:rPr>
          <w:rFonts w:ascii="Times New Roman" w:cs="Times New Roman" w:eastAsia="Times New Roman" w:hAnsi="Times New Roman"/>
          <w:sz w:val="18"/>
          <w:szCs w:val="18"/>
          <w:u w:val="single" w:color="auto"/>
          <w:color w:val="auto"/>
          <w:strike w:val="1"/>
        </w:rPr>
        <w:t>and</w:t>
      </w:r>
      <w:r>
        <w:rPr>
          <w:rFonts w:ascii="Times New Roman" w:cs="Times New Roman" w:eastAsia="Times New Roman" w:hAnsi="Times New Roman"/>
          <w:sz w:val="18"/>
          <w:szCs w:val="18"/>
          <w:color w:val="auto"/>
          <w:strike w:val="1"/>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Measurement Month Average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-287655</wp:posOffset>
            </wp:positionV>
            <wp:extent cx="257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6" w:name="page7"/>
    <w:bookmarkEnd w:id="6"/>
    <w:p>
      <w:pPr>
        <w:ind w:left="660" w:right="20"/>
        <w:spacing w:after="0" w:line="261" w:lineRule="auto"/>
        <w:rPr>
          <w:sz w:val="20"/>
          <w:szCs w:val="20"/>
          <w:color w:val="auto"/>
        </w:rPr>
      </w:pPr>
      <w:r>
        <w:rPr>
          <w:rFonts w:ascii="Times New Roman" w:cs="Times New Roman" w:eastAsia="Times New Roman" w:hAnsi="Times New Roman"/>
          <w:sz w:val="18"/>
          <w:szCs w:val="18"/>
          <w:color w:val="auto"/>
        </w:rPr>
        <w:t xml:space="preserve">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Excess Tesla Percentage and (y) 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B DBRS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before the Series 2010-6 Interest Rate Cap Expiry Date, 10.60% or (b) if such date of determination occurs on or after the Series 2010-6 Interest Rate Cap Expiry Date, 10.60</w:t>
      </w:r>
      <w:r>
        <w:rPr>
          <w:rFonts w:ascii="Times New Roman" w:cs="Times New Roman" w:eastAsia="Times New Roman" w:hAnsi="Times New Roman"/>
          <w:sz w:val="18"/>
          <w:szCs w:val="18"/>
          <w:u w:val="single" w:color="auto"/>
          <w:color w:val="auto"/>
          <w:strike w:val="1"/>
        </w:rPr>
        <w:t>8.60</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-21590</wp:posOffset>
            </wp:positionV>
            <wp:extent cx="200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56" w:lineRule="exact"/>
        <w:rPr>
          <w:sz w:val="20"/>
          <w:szCs w:val="20"/>
          <w:color w:val="auto"/>
        </w:rPr>
      </w:pPr>
    </w:p>
    <w:p>
      <w:pPr>
        <w:ind w:left="660"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Class B DBRS Trucks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occurs before the Series 2010-6 Interest Rate Cap Expiry Date, 48.75% or (b) if such date of determination occurs on or after the Series 2010-6 Interest Rate Cap Expiry Date, 48.75%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2010-6 Enhancement Rate Reduction.</w:t>
      </w:r>
    </w:p>
    <w:p>
      <w:pPr>
        <w:spacing w:after="0" w:line="17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Maximum Manufacturer Amount</w:t>
      </w:r>
      <w:r>
        <w:rPr>
          <w:rFonts w:ascii="Times New Roman" w:cs="Times New Roman" w:eastAsia="Times New Roman" w:hAnsi="Times New Roman"/>
          <w:sz w:val="18"/>
          <w:szCs w:val="18"/>
          <w:color w:val="auto"/>
        </w:rPr>
        <w:t xml:space="preserve">” means, as of any day, any of the Series 2010-6 Maximum Hyundai Amount, the Series 2010-6 Maximum Isuzu Amount, the Series 2010-6 Maximum Jaguar Amount, the Series 2010-6 Maximum Kia Amount, the Series 2010-6 Maximum Land Rover Amount, the Series 2010-6 Maximum Medium/Heavy Duty Truck Amount, the Series 2010-6 Maximum Mitsubishi Amount, the Series 2010-6 Maximum Subaru Amount, the Series 2010-6 Maximum Suzuki Amount or the Series 2010-6 Maximum </w:t>
      </w:r>
      <w:r>
        <w:rPr>
          <w:rFonts w:ascii="Times New Roman" w:cs="Times New Roman" w:eastAsia="Times New Roman" w:hAnsi="Times New Roman"/>
          <w:sz w:val="18"/>
          <w:szCs w:val="18"/>
          <w:color w:val="auto"/>
          <w:strike w:val="1"/>
        </w:rPr>
        <w:t>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Electric</w:t>
      </w:r>
      <w:r>
        <w:rPr>
          <w:rFonts w:ascii="Times New Roman" w:cs="Times New Roman" w:eastAsia="Times New Roman" w:hAnsi="Times New Roman"/>
          <w:sz w:val="18"/>
          <w:szCs w:val="18"/>
          <w:color w:val="auto"/>
        </w:rPr>
        <w:t xml:space="preserve"> Vehicle Amount.</w:t>
      </w:r>
    </w:p>
    <w:p>
      <w:pPr>
        <w:spacing w:after="0" w:line="183" w:lineRule="exact"/>
        <w:rPr>
          <w:sz w:val="20"/>
          <w:szCs w:val="20"/>
          <w:color w:val="auto"/>
        </w:rPr>
      </w:pPr>
    </w:p>
    <w:p>
      <w:pPr>
        <w:ind w:left="660"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Required Liquidity Amount</w:t>
      </w:r>
      <w:r>
        <w:rPr>
          <w:rFonts w:ascii="Times New Roman" w:cs="Times New Roman" w:eastAsia="Times New Roman" w:hAnsi="Times New Roman"/>
          <w:sz w:val="18"/>
          <w:szCs w:val="18"/>
          <w:color w:val="auto"/>
        </w:rPr>
        <w:t xml:space="preserve">” means, with respect to any Distribution Date, an amount equal to, </w:t>
      </w:r>
      <w:r>
        <w:rPr>
          <w:rFonts w:ascii="Times New Roman" w:cs="Times New Roman" w:eastAsia="Times New Roman" w:hAnsi="Times New Roman"/>
          <w:sz w:val="18"/>
          <w:szCs w:val="18"/>
          <w:color w:val="auto"/>
          <w:strike w:val="1"/>
        </w:rPr>
        <w:t>if (1) such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Date occurs before the Series 2010-6 Interest Rate Cap Expiry Date, 3.25% or (2) such Distribution Date occurs on or after the Series 2010-6 Interest Rate Cap Expiry Date, the Series 2010-6 Interest Rate Cap Liquidity Percentage for the Series 2010-6 Interest Rate Cap Period in which such Distribution Date occurs, in either case, of the sum of (x) the Class A Invested Amount on such Distribution Date and (y) the Class B Invested Amount on such Distribution Date, in each case, after giving effect to any payments of principal to be made on the Series 2010-6 Notes on such Distribution Date.</w:t>
      </w:r>
    </w:p>
    <w:p>
      <w:pPr>
        <w:spacing w:after="0" w:line="187" w:lineRule="exact"/>
        <w:rPr>
          <w:sz w:val="20"/>
          <w:szCs w:val="20"/>
          <w:color w:val="auto"/>
        </w:rPr>
      </w:pPr>
    </w:p>
    <w:p>
      <w:pPr>
        <w:ind w:left="1840" w:hanging="53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Definitions</w:t>
      </w:r>
      <w:r>
        <w:rPr>
          <w:rFonts w:ascii="Times New Roman" w:cs="Times New Roman" w:eastAsia="Times New Roman" w:hAnsi="Times New Roman"/>
          <w:sz w:val="18"/>
          <w:szCs w:val="18"/>
          <w:color w:val="auto"/>
        </w:rPr>
        <w:t>. The following definitions have been added as follows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“Electric Vehicle” means any Vehicle that constitutes a battery electric vehicle or a plug-in hybrid electric vehicle.</w:t>
      </w:r>
    </w:p>
    <w:p>
      <w:pPr>
        <w:spacing w:after="0" w:line="225" w:lineRule="exact"/>
        <w:rPr>
          <w:sz w:val="20"/>
          <w:szCs w:val="20"/>
          <w:color w:val="auto"/>
        </w:rPr>
      </w:pPr>
    </w:p>
    <w:p>
      <w:pPr>
        <w:ind w:left="660" w:right="1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“Series 2010-6 Maximum Electric Vehicle Amount” means, as of any day, an amount equal to 10% of the aggregate Net Book Value of all Vehicles leased under the Leases on such day.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ind w:left="1840" w:hanging="53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Deletion of Definitions</w:t>
      </w:r>
      <w:r>
        <w:rPr>
          <w:rFonts w:ascii="Times New Roman" w:cs="Times New Roman" w:eastAsia="Times New Roman" w:hAnsi="Times New Roman"/>
          <w:sz w:val="18"/>
          <w:szCs w:val="18"/>
          <w:color w:val="auto"/>
        </w:rPr>
        <w:t>. The following definitions have been deleted in their entirety as follows by deleting the text thereof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lined out: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strike w:val="1"/>
        </w:rPr>
        <w:t>Series 2010-6 Excess Tesla Percentage</w:t>
      </w:r>
      <w:r>
        <w:rPr>
          <w:rFonts w:ascii="Times New Roman" w:cs="Times New Roman" w:eastAsia="Times New Roman" w:hAnsi="Times New Roman"/>
          <w:sz w:val="18"/>
          <w:szCs w:val="18"/>
          <w:color w:val="auto"/>
          <w:strike w:val="1"/>
        </w:rPr>
        <w:t>” means, as of any date of determination, the greater of (1) zero and (2) the percentage equal to</w:t>
      </w:r>
    </w:p>
    <w:p>
      <w:pPr>
        <w:spacing w:after="0" w:line="27" w:lineRule="exact"/>
        <w:rPr>
          <w:sz w:val="20"/>
          <w:szCs w:val="20"/>
          <w:color w:val="auto"/>
        </w:rPr>
      </w:pPr>
    </w:p>
    <w:p>
      <w:pPr>
        <w:ind w:left="660" w:right="520" w:hanging="4"/>
        <w:spacing w:after="0" w:line="260" w:lineRule="auto"/>
        <w:tabs>
          <w:tab w:leader="none" w:pos="915" w:val="left"/>
        </w:tabs>
        <w:numPr>
          <w:ilvl w:val="0"/>
          <w:numId w:val="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a fraction (expressed as a percentage) equal to the aggregate Net Book Value of all Vehicles manufactured by Tesla and leased under the Leases </w:t>
      </w:r>
      <w:r>
        <w:rPr>
          <w:rFonts w:ascii="Times New Roman" w:cs="Times New Roman" w:eastAsia="Times New Roman" w:hAnsi="Times New Roman"/>
          <w:sz w:val="18"/>
          <w:szCs w:val="18"/>
          <w:u w:val="single" w:color="auto"/>
          <w:color w:val="auto"/>
          <w:strike w:val="1"/>
        </w:rPr>
        <w:t>divided</w:t>
      </w:r>
      <w:r>
        <w:rPr>
          <w:rFonts w:ascii="Times New Roman" w:cs="Times New Roman" w:eastAsia="Times New Roman" w:hAnsi="Times New Roman"/>
          <w:sz w:val="18"/>
          <w:szCs w:val="18"/>
          <w:color w:val="auto"/>
          <w:strike w:val="1"/>
        </w:rPr>
        <w:t xml:space="preserve"> by the aggregate Net Book Value of all Vehicles leased under the Leases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(y) 15 percentage points.</w:t>
      </w:r>
    </w:p>
    <w:p>
      <w:pPr>
        <w:spacing w:after="0" w:line="181"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strike w:val="1"/>
        </w:rPr>
        <w:t>Series 2010-6 Maximum Tesla Amount</w:t>
      </w:r>
      <w:r>
        <w:rPr>
          <w:rFonts w:ascii="Times New Roman" w:cs="Times New Roman" w:eastAsia="Times New Roman" w:hAnsi="Times New Roman"/>
          <w:sz w:val="18"/>
          <w:szCs w:val="18"/>
          <w:color w:val="auto"/>
          <w:strike w:val="1"/>
        </w:rPr>
        <w:t>” means, as of any day, an amount equal to 10% of the aggregate Net Book Value of all Vehicles leased under the Leases on such day.</w:t>
      </w:r>
    </w:p>
    <w:p>
      <w:pPr>
        <w:spacing w:after="0" w:line="162" w:lineRule="exact"/>
        <w:rPr>
          <w:sz w:val="20"/>
          <w:szCs w:val="20"/>
          <w:color w:val="auto"/>
        </w:rPr>
      </w:pPr>
    </w:p>
    <w:p>
      <w:pPr>
        <w:ind w:firstLine="1304"/>
        <w:spacing w:after="0" w:line="266" w:lineRule="auto"/>
        <w:tabs>
          <w:tab w:leader="none" w:pos="1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Definition of Series 2010-6 Incremental Enhancement Amount</w:t>
      </w:r>
      <w:r>
        <w:rPr>
          <w:rFonts w:ascii="Times New Roman" w:cs="Times New Roman" w:eastAsia="Times New Roman" w:hAnsi="Times New Roman"/>
          <w:sz w:val="18"/>
          <w:szCs w:val="18"/>
          <w:color w:val="auto"/>
        </w:rPr>
        <w:t>. Clause (vii) of the definition of Series 2010-6 Incremental Enhancement Amount is hereby amended and restated as follows, (i) by deleting the text thereof which is lined out and (ii) by inserting the text thereof which is double underlined:</w:t>
      </w:r>
    </w:p>
    <w:p>
      <w:pPr>
        <w:spacing w:after="0" w:line="176" w:lineRule="exact"/>
        <w:rPr>
          <w:sz w:val="20"/>
          <w:szCs w:val="20"/>
          <w:color w:val="auto"/>
        </w:rPr>
      </w:pPr>
    </w:p>
    <w:p>
      <w:pPr>
        <w:ind w:left="660" w:firstLine="644"/>
        <w:spacing w:after="0" w:line="253" w:lineRule="auto"/>
        <w:tabs>
          <w:tab w:leader="none" w:pos="1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(x) the Series 2010-6 Percentage of the excess, if any, of the aggregate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Leases as of the immediately preceding Business Day over the Series 2010-6 Maximum </w:t>
      </w:r>
      <w:r>
        <w:rPr>
          <w:rFonts w:ascii="Times New Roman" w:cs="Times New Roman" w:eastAsia="Times New Roman" w:hAnsi="Times New Roman"/>
          <w:sz w:val="18"/>
          <w:szCs w:val="18"/>
          <w:color w:val="auto"/>
          <w:strike w:val="1"/>
        </w:rPr>
        <w:t>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Electric Vehicle</w:t>
      </w:r>
      <w:r>
        <w:rPr>
          <w:rFonts w:ascii="Times New Roman" w:cs="Times New Roman" w:eastAsia="Times New Roman" w:hAnsi="Times New Roman"/>
          <w:sz w:val="18"/>
          <w:szCs w:val="18"/>
          <w:color w:val="auto"/>
        </w:rPr>
        <w:t xml:space="preserve"> Amount as of the immediately preceding Business Day and (y) the excess, if any, of (A) the sum of (1) the Series 2010-6 VFN Percentage of the aggregate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AESOP II Operating Lease as of the immediately preceding Business Day and (2) the Series 2010-6 AESOP I Operating Lease Vehicle Percentage of the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AESOP I Operating Lease as of the immediately preceding Business Day over (B) </w:t>
      </w:r>
      <w:r>
        <w:rPr>
          <w:rFonts w:ascii="Times New Roman" w:cs="Times New Roman" w:eastAsia="Times New Roman" w:hAnsi="Times New Roman"/>
          <w:sz w:val="18"/>
          <w:szCs w:val="18"/>
          <w:color w:val="auto"/>
          <w:strike w:val="1"/>
        </w:rPr>
        <w:t>25</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-438785</wp:posOffset>
            </wp:positionV>
            <wp:extent cx="114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4" w:lineRule="exact"/>
        <w:rPr>
          <w:sz w:val="20"/>
          <w:szCs w:val="20"/>
          <w:color w:val="auto"/>
        </w:rPr>
      </w:pPr>
    </w:p>
    <w:p>
      <w:pPr>
        <w:ind w:right="220" w:firstLine="1304"/>
        <w:spacing w:after="0" w:line="282" w:lineRule="auto"/>
        <w:tabs>
          <w:tab w:leader="none" w:pos="1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3.11</w:t>
      </w:r>
      <w:r>
        <w:rPr>
          <w:rFonts w:ascii="Times New Roman" w:cs="Times New Roman" w:eastAsia="Times New Roman" w:hAnsi="Times New Roman"/>
          <w:sz w:val="18"/>
          <w:szCs w:val="18"/>
          <w:color w:val="auto"/>
        </w:rPr>
        <w:t>. Section 3.11(a) and (c) are hereby amended and restated as follows, (i) by deleting the text thereof which is lined out and (ii) by inserting the text thereof which is double underlined:</w:t>
      </w:r>
    </w:p>
    <w:p>
      <w:pPr>
        <w:spacing w:after="0" w:line="162" w:lineRule="exact"/>
        <w:rPr>
          <w:sz w:val="20"/>
          <w:szCs w:val="20"/>
          <w:color w:val="auto"/>
        </w:rPr>
      </w:pPr>
    </w:p>
    <w:p>
      <w:pPr>
        <w:ind w:left="660" w:right="60" w:firstLine="644"/>
        <w:spacing w:after="0" w:line="256" w:lineRule="auto"/>
        <w:tabs>
          <w:tab w:leader="none" w:pos="18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On or prior to the A&amp;R Effective Date,</w:t>
      </w:r>
      <w:r>
        <w:rPr>
          <w:rFonts w:ascii="Times New Roman" w:cs="Times New Roman" w:eastAsia="Times New Roman" w:hAnsi="Times New Roman"/>
          <w:sz w:val="18"/>
          <w:szCs w:val="18"/>
          <w:color w:val="auto"/>
        </w:rPr>
        <w:t xml:space="preserve"> ABRCF </w:t>
      </w:r>
      <w:r>
        <w:rPr>
          <w:rFonts w:ascii="Times New Roman" w:cs="Times New Roman" w:eastAsia="Times New Roman" w:hAnsi="Times New Roman"/>
          <w:sz w:val="18"/>
          <w:szCs w:val="18"/>
          <w:u w:val="single" w:color="auto"/>
          <w:color w:val="auto"/>
        </w:rPr>
        <w:t>may, in its sole discretion, elect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shall</w:t>
      </w:r>
      <w:r>
        <w:rPr>
          <w:rFonts w:ascii="Times New Roman" w:cs="Times New Roman" w:eastAsia="Times New Roman" w:hAnsi="Times New Roman"/>
          <w:sz w:val="18"/>
          <w:szCs w:val="18"/>
          <w:color w:val="auto"/>
        </w:rPr>
        <w:t xml:space="preserve"> acquire one or more interest rate caps (each a “</w:t>
      </w:r>
      <w:r>
        <w:rPr>
          <w:rFonts w:ascii="Times New Roman" w:cs="Times New Roman" w:eastAsia="Times New Roman" w:hAnsi="Times New Roman"/>
          <w:sz w:val="18"/>
          <w:szCs w:val="18"/>
          <w:u w:val="single" w:color="auto"/>
          <w:color w:val="auto"/>
        </w:rPr>
        <w:t>Series 2010-6 Interest Rate Cap</w:t>
      </w:r>
      <w:r>
        <w:rPr>
          <w:rFonts w:ascii="Times New Roman" w:cs="Times New Roman" w:eastAsia="Times New Roman" w:hAnsi="Times New Roman"/>
          <w:sz w:val="18"/>
          <w:szCs w:val="18"/>
          <w:color w:val="auto"/>
        </w:rPr>
        <w:t xml:space="preserve">”) from a Qualified Interest Rate Cap Counterparty </w:t>
      </w:r>
      <w:r>
        <w:rPr>
          <w:rFonts w:ascii="Times New Roman" w:cs="Times New Roman" w:eastAsia="Times New Roman" w:hAnsi="Times New Roman"/>
          <w:sz w:val="18"/>
          <w:szCs w:val="18"/>
          <w:u w:val="single" w:color="auto"/>
          <w:color w:val="auto"/>
        </w:rPr>
        <w:t>or, if</w:t>
      </w:r>
      <w:r>
        <w:rPr>
          <w:rFonts w:ascii="Times New Roman" w:cs="Times New Roman" w:eastAsia="Times New Roman" w:hAnsi="Times New Roman"/>
          <w:sz w:val="18"/>
          <w:szCs w:val="18"/>
          <w:color w:val="auto"/>
          <w:strike w:val="1"/>
        </w:rPr>
        <w:t>. On the A&amp;R Effective Date, the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notional amount of all Series 2010-6 Interest Rate Caps shall equal the Class A/B Maximum Invested Amount, and the aggregate notional amount of all Series 2010-6 Interest Rate Caps may be reduced pursuant to the related Series 2010-6 Interest Rate Cap to the extent that the Class A/B Maximum Invested Amount is reduced after the A&amp;R Effective Date. ABRCF shall acquire one or more additional Series 2010-6 Interest Rate Caps in connection with any increase of the Class A/B Maximum Invested Amount after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left="660"/>
        <w:spacing w:after="0" w:line="252" w:lineRule="auto"/>
        <w:rPr>
          <w:sz w:val="20"/>
          <w:szCs w:val="20"/>
          <w:color w:val="auto"/>
        </w:rPr>
      </w:pPr>
      <w:r>
        <w:rPr>
          <w:rFonts w:ascii="Times New Roman" w:cs="Times New Roman" w:eastAsia="Times New Roman" w:hAnsi="Times New Roman"/>
          <w:sz w:val="18"/>
          <w:szCs w:val="18"/>
          <w:color w:val="auto"/>
          <w:strike w:val="1"/>
        </w:rPr>
        <w:t xml:space="preserve">the A&amp;R Effective Date such that the aggregate notional amounts of all Series 2010-6 Interest Rate Caps shall equal the Class A/B Maximum Invested Amount after giving effect to such increase. The strike rate of the Series 2010-6 Interest Rate Cap as of the A&amp;R Effective Date shall not be greater than the Series 2010-6 Required Cap Strike Rate. The Series 2010-6 Interest Rate Caps in effect as of the A&amp;R Effective Date shall extend to at least the Series 2010-6 Interest Rate Cap Expiry Date. On and after the Series 2010-6 Interest Rate Cap Expiry Date, ABRCF shall not be required to acquire any Series 2010-6 Interest Rate Cap unless an ABCR Three-Notch Downgrade Event occurs and is continuing. If an ABCR Three-Notch Downgrade Event has occurred and is continuing (or if ABRCF, in its sole discretion, otherwise elects to acquire a Series 2010-6 Interest Rate Cap), ABRCF shall acquire a Series 2010-6 Interest Rate Cap </w:t>
      </w:r>
      <w:r>
        <w:rPr>
          <w:rFonts w:ascii="Times New Roman" w:cs="Times New Roman" w:eastAsia="Times New Roman" w:hAnsi="Times New Roman"/>
          <w:sz w:val="18"/>
          <w:szCs w:val="18"/>
          <w:u w:val="single" w:color="auto"/>
          <w:color w:val="auto"/>
          <w:strike w:val="1"/>
        </w:rPr>
        <w:t>from a Qualified Interest Rate Cap Counterparty that has the following</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terms:</w:t>
      </w:r>
      <w:r>
        <w:rPr>
          <w:rFonts w:ascii="Times New Roman" w:cs="Times New Roman" w:eastAsia="Times New Roman" w:hAnsi="Times New Roman"/>
          <w:sz w:val="18"/>
          <w:szCs w:val="18"/>
          <w:color w:val="auto"/>
          <w:strike w:val="1"/>
        </w:rPr>
        <w:t xml:space="preserve"> in accordance with the terms hereof except that (i) the strike rate of such Series 2010-6 Interest Rate Cap shall not be greater than the Series 2010-6 Required Cap Strike Rate with respect to the Series 2010-6 Interest Rate Cap Period in which such ABCR Three-Notch Downgrade occurs (or in which ABRCF elects to acquire such Series 2010-6 Interest Rate Cap)</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and (ii) such Series 2010-6 Interest Rate Cap shall extend to at least the Series 2010-6 Termination Date </w:t>
      </w:r>
      <w:r>
        <w:rPr>
          <w:rFonts w:ascii="Times New Roman" w:cs="Times New Roman" w:eastAsia="Times New Roman" w:hAnsi="Times New Roman"/>
          <w:sz w:val="18"/>
          <w:szCs w:val="18"/>
          <w:u w:val="single" w:color="auto"/>
          <w:color w:val="auto"/>
          <w:strike w:val="1"/>
        </w:rPr>
        <w:t>and (iii) the aggregate notional amount of all Series 2010-6 Interest Rate Caps in effect at the time ABRCF</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acquires such new Series 2010-6 Interest Rate Cap shall equal the Class A/B Maximum Invested Amount as of such date</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The aggregate notional</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amount of all Series 2010-6 Interest Rate Caps may be reduced pursuant to the related Series 2010-6 Interest Rate Cap to the extent the Class A/B Maximum Invested Amount is reduced after such Series 2010-6 Interest Rate Cap is obtained.</w:t>
      </w:r>
    </w:p>
    <w:p>
      <w:pPr>
        <w:spacing w:after="0" w:line="197" w:lineRule="exact"/>
        <w:rPr>
          <w:sz w:val="20"/>
          <w:szCs w:val="20"/>
          <w:color w:val="auto"/>
        </w:rPr>
      </w:pPr>
    </w:p>
    <w:p>
      <w:pPr>
        <w:ind w:left="660" w:right="20" w:firstLine="644"/>
        <w:spacing w:after="0" w:line="255" w:lineRule="auto"/>
        <w:tabs>
          <w:tab w:leader="none" w:pos="18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date of determination </w:t>
      </w:r>
      <w:r>
        <w:rPr>
          <w:rFonts w:ascii="Times New Roman" w:cs="Times New Roman" w:eastAsia="Times New Roman" w:hAnsi="Times New Roman"/>
          <w:sz w:val="18"/>
          <w:szCs w:val="18"/>
          <w:color w:val="auto"/>
          <w:strike w:val="1"/>
        </w:rPr>
        <w:t>on and after the Series 2010-6 Interest Rate Cap Expiry Date and</w:t>
      </w:r>
      <w:r>
        <w:rPr>
          <w:rFonts w:ascii="Times New Roman" w:cs="Times New Roman" w:eastAsia="Times New Roman" w:hAnsi="Times New Roman"/>
          <w:sz w:val="18"/>
          <w:szCs w:val="18"/>
          <w:color w:val="auto"/>
        </w:rPr>
        <w:t xml:space="preserve"> during the Series 2010-6 Revolving Period the Series 2010-6 Springing Interest Rate Cap Reset Condition is satisfied, ABRCF (in its sole discretion) may elect to reduce the Series 2010-6 Required Cap Strike Rate and the Series 2010-6 Springing Interest Rate Cap Trigger;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Series 2010-6 Required Cap Strike Rate may not be reduced to less than (x) Daily Simple SOFR as of the date of such election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250 basis points (or, if an ABCR Two-Notch Downgrade Event or an ABCR Three-Notch Downgrade Event has occurred and is continuing, 450 basis points), (ii) the Series 2010-6 Springing Interest Rate Cap Trigger may not be reduced to less than (x) Daily Simple SOFR as of the date of such election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100 basis points and (iii) ABRCF may not make more than one (1) such election in any calendar month.</w:t>
      </w:r>
    </w:p>
    <w:p>
      <w:pPr>
        <w:spacing w:after="0" w:line="189" w:lineRule="exact"/>
        <w:rPr>
          <w:sz w:val="20"/>
          <w:szCs w:val="20"/>
          <w:color w:val="auto"/>
        </w:rPr>
      </w:pPr>
    </w:p>
    <w:p>
      <w:pPr>
        <w:ind w:left="1840" w:hanging="536"/>
        <w:spacing w:after="0"/>
        <w:tabs>
          <w:tab w:leader="none" w:pos="1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8.2</w:t>
      </w:r>
      <w:r>
        <w:rPr>
          <w:rFonts w:ascii="Times New Roman" w:cs="Times New Roman" w:eastAsia="Times New Roman" w:hAnsi="Times New Roman"/>
          <w:sz w:val="18"/>
          <w:szCs w:val="18"/>
          <w:color w:val="auto"/>
        </w:rPr>
        <w:t>. Section 8.2(e) is hereby amended and restated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right="200" w:firstLine="644"/>
        <w:spacing w:after="0" w:line="261" w:lineRule="auto"/>
        <w:tabs>
          <w:tab w:leader="none" w:pos="18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they shall not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(i) agree to any amendment to the Base Indenture or any other Related Document, or (ii) take any action under the Base Indenture or any other Related Documents, which amendment or action requires the consent or direction of the Requisite Investors, without having received the prior written consent of the Requisite Noteholders </w:t>
      </w:r>
      <w:r>
        <w:rPr>
          <w:rFonts w:ascii="Times New Roman" w:cs="Times New Roman" w:eastAsia="Times New Roman" w:hAnsi="Times New Roman"/>
          <w:sz w:val="18"/>
          <w:szCs w:val="18"/>
          <w:u w:val="single" w:color="auto"/>
          <w:color w:val="auto"/>
        </w:rPr>
        <w:t>or (y) take any action or make amendment to 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 pursuant to Section 12.2(c) of the Base Indenture without the consent of 100% of the Series 2010-6 Noteholders;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1840" w:hanging="536"/>
        <w:spacing w:after="0"/>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11.4</w:t>
      </w:r>
      <w:r>
        <w:rPr>
          <w:rFonts w:ascii="Times New Roman" w:cs="Times New Roman" w:eastAsia="Times New Roman" w:hAnsi="Times New Roman"/>
          <w:sz w:val="18"/>
          <w:szCs w:val="18"/>
          <w:color w:val="auto"/>
        </w:rPr>
        <w:t>. Section 11.4(b) is hereby amended and restated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firstLine="644"/>
        <w:spacing w:after="0" w:line="256" w:lineRule="auto"/>
        <w:tabs>
          <w:tab w:leader="none" w:pos="18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ABRCF, the Trustee, the Administrative Agent, the Administrator, each CP Conduit Purchaser, each Non-Conduit Purchaser, each Committed Note Purchaser, each Funding Agent and each APA Bank hereby covenants and agrees that, prior to the date which is one year and one day after the payment in full of all outstanding Commercial Paper </w:t>
      </w:r>
      <w:r>
        <w:rPr>
          <w:rFonts w:ascii="Times New Roman" w:cs="Times New Roman" w:eastAsia="Times New Roman" w:hAnsi="Times New Roman"/>
          <w:sz w:val="18"/>
          <w:szCs w:val="18"/>
          <w:u w:val="single" w:color="auto"/>
          <w:color w:val="auto"/>
        </w:rPr>
        <w:t>or other senior indebtedness</w:t>
      </w:r>
      <w:r>
        <w:rPr>
          <w:rFonts w:ascii="Times New Roman" w:cs="Times New Roman" w:eastAsia="Times New Roman" w:hAnsi="Times New Roman"/>
          <w:sz w:val="18"/>
          <w:szCs w:val="18"/>
          <w:color w:val="auto"/>
        </w:rPr>
        <w:t xml:space="preserve">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87" w:lineRule="exact"/>
        <w:rPr>
          <w:sz w:val="20"/>
          <w:szCs w:val="20"/>
          <w:color w:val="auto"/>
        </w:rPr>
      </w:pPr>
    </w:p>
    <w:p>
      <w:pPr>
        <w:ind w:right="220" w:firstLine="1304"/>
        <w:spacing w:after="0" w:line="282" w:lineRule="auto"/>
        <w:tabs>
          <w:tab w:leader="none" w:pos="18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11.5</w:t>
      </w:r>
      <w:r>
        <w:rPr>
          <w:rFonts w:ascii="Times New Roman" w:cs="Times New Roman" w:eastAsia="Times New Roman" w:hAnsi="Times New Roman"/>
          <w:sz w:val="18"/>
          <w:szCs w:val="18"/>
          <w:color w:val="auto"/>
        </w:rPr>
        <w:t>. The first paragraph of Section 11.5(a) is hereby amended and restated by inserting the text thereof which is double underlined:</w:t>
      </w:r>
    </w:p>
    <w:p>
      <w:pPr>
        <w:spacing w:after="0" w:line="162" w:lineRule="exact"/>
        <w:rPr>
          <w:sz w:val="20"/>
          <w:szCs w:val="20"/>
          <w:color w:val="auto"/>
        </w:rPr>
      </w:pPr>
    </w:p>
    <w:p>
      <w:pPr>
        <w:ind w:left="660" w:right="120" w:firstLine="644"/>
        <w:spacing w:after="0" w:line="255" w:lineRule="auto"/>
        <w:tabs>
          <w:tab w:leader="none" w:pos="18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w:t>
      </w:r>
      <w:r>
        <w:rPr>
          <w:rFonts w:ascii="Times New Roman" w:cs="Times New Roman" w:eastAsia="Times New Roman" w:hAnsi="Times New Roman"/>
          <w:sz w:val="18"/>
          <w:szCs w:val="18"/>
          <w:u w:val="single" w:color="auto"/>
          <w:color w:val="auto"/>
        </w:rPr>
        <w:t>or other senior indebtedness</w:t>
      </w:r>
      <w:r>
        <w:rPr>
          <w:rFonts w:ascii="Times New Roman" w:cs="Times New Roman" w:eastAsia="Times New Roman" w:hAnsi="Times New Roman"/>
          <w:sz w:val="18"/>
          <w:szCs w:val="18"/>
          <w:color w:val="auto"/>
        </w:rPr>
        <w:t xml:space="preserve">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 </w:t>
      </w:r>
      <w:r>
        <w:rPr>
          <w:rFonts w:ascii="Times New Roman" w:cs="Times New Roman" w:eastAsia="Times New Roman" w:hAnsi="Times New Roman"/>
          <w:sz w:val="18"/>
          <w:szCs w:val="18"/>
          <w:u w:val="single" w:color="auto"/>
          <w:color w:val="auto"/>
        </w:rPr>
        <w:t>and other senior indebtedness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840" w:hanging="536"/>
        <w:spacing w:after="0"/>
        <w:tabs>
          <w:tab w:leader="none" w:pos="18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11.20</w:t>
      </w:r>
      <w:r>
        <w:rPr>
          <w:rFonts w:ascii="Times New Roman" w:cs="Times New Roman" w:eastAsia="Times New Roman" w:hAnsi="Times New Roman"/>
          <w:sz w:val="18"/>
          <w:szCs w:val="18"/>
          <w:color w:val="auto"/>
        </w:rPr>
        <w:t>. Section 11.20 is hereby amended and restated as follows: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and restating Section 11.20(a) by deleting the text thereof which is lined out and by inserting the text thereof which is double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right="140" w:firstLine="644"/>
        <w:spacing w:after="0" w:line="254" w:lineRule="auto"/>
        <w:tabs>
          <w:tab w:leader="none" w:pos="18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each Series 2010-6 Noteholder will maintain the confidentiality of all Confidential Information in accordance with procedures adopted by the Trustee or such Series 2010-6 Noteholder in good faith to protect Confidential Information of third parties delivered to such Person; provided,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11.20; (ii) (x) such Person’s financial advisors and other 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ind w:left="4"/>
        <w:spacing w:after="0" w:line="253" w:lineRule="auto"/>
        <w:rPr>
          <w:sz w:val="20"/>
          <w:szCs w:val="20"/>
          <w:color w:val="auto"/>
        </w:rPr>
      </w:pPr>
      <w:r>
        <w:rPr>
          <w:rFonts w:ascii="Times New Roman" w:cs="Times New Roman" w:eastAsia="Times New Roman" w:hAnsi="Times New Roman"/>
          <w:sz w:val="18"/>
          <w:szCs w:val="18"/>
          <w:color w:val="auto"/>
        </w:rPr>
        <w:t>of this Section 11.20; (iii) any other Series 2010-6 Noteholder; (iv) any Person of the type that would be, to such Person’s knowledge, permitted to acquire Series 2010-6 Notes in accordance with the requirements of the Indenture to which such Person sells or offers to sell any such Series 2010-6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w:t>
      </w:r>
    </w:p>
    <w:p>
      <w:pPr>
        <w:spacing w:after="0" w:line="1" w:lineRule="exact"/>
        <w:rPr>
          <w:sz w:val="20"/>
          <w:szCs w:val="20"/>
          <w:color w:val="auto"/>
        </w:rPr>
      </w:pPr>
    </w:p>
    <w:p>
      <w:pPr>
        <w:ind w:left="4" w:hanging="4"/>
        <w:spacing w:after="0" w:line="251" w:lineRule="auto"/>
        <w:tabs>
          <w:tab w:leader="none" w:pos="4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w:t>
      </w:r>
      <w:r>
        <w:rPr>
          <w:rFonts w:ascii="Times New Roman" w:cs="Times New Roman" w:eastAsia="Times New Roman" w:hAnsi="Times New Roman"/>
          <w:sz w:val="18"/>
          <w:szCs w:val="18"/>
          <w:color w:val="auto"/>
          <w:strike w:val="1"/>
        </w:rPr>
        <w:t>if an Amortization Event with respect to the Series 2010-6 Notes has occurred and is continuing, to the extent such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may reasonably determine such delivery and disclosure to be necessary or appropriate in the enforcement or for the protection of the rights and remedies under the Series 2010-6 Notes, the Indenture or any other Related Document </w:t>
      </w:r>
      <w:r>
        <w:rPr>
          <w:rFonts w:ascii="Times New Roman" w:cs="Times New Roman" w:eastAsia="Times New Roman" w:hAnsi="Times New Roman"/>
          <w:sz w:val="18"/>
          <w:szCs w:val="18"/>
          <w:u w:val="single" w:color="auto"/>
          <w:color w:val="auto"/>
          <w:strike w:val="1"/>
        </w:rPr>
        <w:t>any other Person to the extent that information is</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reasonably necessary to enforce its rights hereunder and used in connection with the exercise, waiver or amendment of such Person’s rights or obligations under, related to or arising out of the Series 2010-6 Notes, the Indenture or any other Related Document or any other transactions that such Person and its affiliates may have with ABRCF and its affiliates, including but not limited to any related hedges or hedging activities</w:t>
      </w:r>
      <w:r>
        <w:rPr>
          <w:rFonts w:ascii="Times New Roman" w:cs="Times New Roman" w:eastAsia="Times New Roman" w:hAnsi="Times New Roman"/>
          <w:sz w:val="18"/>
          <w:szCs w:val="18"/>
          <w:color w:val="auto"/>
          <w:strike w:val="1"/>
        </w:rPr>
        <w:t>; and provided, further, however, that delivery to Series 2010-6 Noteholders of any report or information required by the terms of the Indenture to be provided to Series 2010-6 Noteholders shall not be a violation of this Section 11.20. Each Series 2010-6 Noteholder agrees, except as set forth in clauses (v), (vi) and (x) above, that it shall use the Confidential Information for the sole purpose of making an investment in the Series 2010-6 Notes or administering its investment in the Series 2010-6 Notes. In the event of any required disclosure of the Confidential Information by such Series 2010-6 Noteholder, such Series 2010-6 Noteholder agrees to use reasonable efforts to protect the confidentiality of the Confidential Information. Each Series 2010-6 Noteholder, by its acceptance of a Series 2010-6 Note, will be deemed to have agreed to be bound by and to be entitled to the benefits of this Section 11.20.;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-973455</wp:posOffset>
            </wp:positionV>
            <wp:extent cx="6313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pacing w:after="0" w:line="169" w:lineRule="exact"/>
        <w:rPr>
          <w:sz w:val="20"/>
          <w:szCs w:val="20"/>
          <w:color w:val="auto"/>
        </w:rPr>
      </w:pPr>
    </w:p>
    <w:p>
      <w:pPr>
        <w:ind w:left="4924" w:right="5040" w:hanging="4924"/>
        <w:spacing w:after="0" w:line="657"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a new clause (c) the text of which is double underlined below: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-227330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580" w:right="379" w:bottom="1440" w:gutter="0" w:footer="0" w:header="0"/>
        </w:sectPr>
      </w:pPr>
    </w:p>
    <w:bookmarkStart w:id="11" w:name="page12"/>
    <w:bookmarkEnd w:id="11"/>
    <w:p>
      <w:pPr>
        <w:ind w:left="660" w:right="120" w:firstLine="644"/>
        <w:spacing w:after="0" w:line="312" w:lineRule="auto"/>
        <w:tabs>
          <w:tab w:leader="none" w:pos="182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 the avoidance of doubt, nothing herein shall prohibit any Person from communicating or disclosing information regarding suspected violations of laws, rules, or regulations to a governmental, regulatory, or self-regulatory authority without any notification to any party.</w:t>
      </w:r>
    </w:p>
    <w:p>
      <w:pPr>
        <w:spacing w:after="0" w:line="140" w:lineRule="exact"/>
        <w:rPr>
          <w:sz w:val="20"/>
          <w:szCs w:val="20"/>
          <w:color w:val="auto"/>
        </w:rPr>
      </w:pPr>
    </w:p>
    <w:p>
      <w:pPr>
        <w:ind w:right="400" w:firstLine="1304"/>
        <w:spacing w:after="0" w:line="282" w:lineRule="auto"/>
        <w:tabs>
          <w:tab w:leader="none" w:pos="19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Schedule I</w:t>
      </w:r>
      <w:r>
        <w:rPr>
          <w:rFonts w:ascii="Times New Roman" w:cs="Times New Roman" w:eastAsia="Times New Roman" w:hAnsi="Times New Roman"/>
          <w:sz w:val="18"/>
          <w:szCs w:val="18"/>
          <w:color w:val="auto"/>
        </w:rPr>
        <w:t>. Schedule I of the Series 2010-6 Supplement is hereby deleted in its entirety and substituted with Schedule I, as it appears in Schedule A hereto.</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9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Exhibit J</w:t>
      </w:r>
      <w:r>
        <w:rPr>
          <w:rFonts w:ascii="Times New Roman" w:cs="Times New Roman" w:eastAsia="Times New Roman" w:hAnsi="Times New Roman"/>
          <w:sz w:val="18"/>
          <w:szCs w:val="18"/>
          <w:color w:val="auto"/>
        </w:rPr>
        <w:t xml:space="preserve">. Exhibit J of the Series 2010-6 Supplement is hereby deleted in its entirety and substituted with Exhibit J as it appears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140" w:firstLine="1304"/>
        <w:spacing w:after="0" w:line="266" w:lineRule="auto"/>
        <w:tabs>
          <w:tab w:leader="none" w:pos="19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By their signatures hereto, each of the undersigned (excluding The Bank of New York Mellon Trust Company, N.A., in its capacity as Trustee and Series 2010-6 Agent) hereby authorize and direct the Trustee and Series 2010-6 Agent to execute this Amendment and take any and all further action necessary or appropriate to give effect to the transaction contemplated hereby.</w:t>
      </w:r>
    </w:p>
    <w:p>
      <w:pPr>
        <w:spacing w:after="0" w:line="175" w:lineRule="exact"/>
        <w:rPr>
          <w:rFonts w:ascii="Times New Roman" w:cs="Times New Roman" w:eastAsia="Times New Roman" w:hAnsi="Times New Roman"/>
          <w:sz w:val="18"/>
          <w:szCs w:val="18"/>
          <w:color w:val="auto"/>
        </w:rPr>
      </w:pPr>
    </w:p>
    <w:p>
      <w:pPr>
        <w:ind w:right="80" w:firstLine="1304"/>
        <w:spacing w:after="0" w:line="282" w:lineRule="auto"/>
        <w:tabs>
          <w:tab w:leader="none" w:pos="19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any other provision of the Series 2010-6 Supplement.</w:t>
      </w:r>
    </w:p>
    <w:p>
      <w:pPr>
        <w:spacing w:after="0" w:line="161" w:lineRule="exact"/>
        <w:rPr>
          <w:rFonts w:ascii="Times New Roman" w:cs="Times New Roman" w:eastAsia="Times New Roman" w:hAnsi="Times New Roman"/>
          <w:sz w:val="18"/>
          <w:szCs w:val="18"/>
          <w:color w:val="auto"/>
        </w:rPr>
      </w:pPr>
    </w:p>
    <w:p>
      <w:pPr>
        <w:ind w:firstLine="1304"/>
        <w:spacing w:after="0" w:line="254" w:lineRule="auto"/>
        <w:tabs>
          <w:tab w:leader="none" w:pos="19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non-pro rata reallocation of the Commitments among the Purchaser Groups, each Purchaser Group hereby makes an assignment and assumption such that, after giving effect thereto, the Purchaser Group Invested Amount with respect to each such Purchaser Group shall equal (i) with respect to each Purchaser Group that owns Class A Notes, the product of (A) the Class A Invested Amount on the Amendment Effective Date and (B) its Class A Commitment Percentage and (ii) with respect to each Purchaser Group that owns Class B Notes, the product of (A) the Class B Invested Amount on the Amendment Effective Date and (B) its Class B Commitment Percentage, in each case, after giving effect to the amendment of Schedule I hereby. The parties hereto agree and acknowledge that each Purchaser Group takes the interests being assigned hereunder by the other Purchaser Groups without recourse, representation or warranty from such Purchaser Groups. By its execution hereof, (x) the Administrative Agent consents to such reallocation and (y) the Administrative Agent and each Purchaser Group waive any advance notice requirement pursuant to Section 2.6 of the Series 2010-6 Supplement solely in connection with such reallocation.</w:t>
      </w:r>
    </w:p>
    <w:p>
      <w:pPr>
        <w:spacing w:after="0" w:line="18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on the later of (x) the date hereof and (y) the date on which each of the following shall</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occurred: (i) each of ABRCF, the Administrator, the Administrative Agent and each Series 2010-6 Noteholder shall have executed and delivered this Amendment to the Trustee, and the Trustee shall have executed this Amendment, (ii) the Rating Agency Consent Condition shall have been satisfied with respect to this Amendment, (iii) each Funding Agent shall have received a letter, in form and substance satisfactory to such Funding Agent, from each of Moody’s, Standard &amp; Poor’s and/or Fitch, as applicable, confirming the commercial paper rating of the related CP Conduit Purchaser after the effectiveness of this Amendment, (iv) all certificates and opinions of counsel required under the Base Indenture or by the Series 2010-6 Noteholders shall have been delivered to the Trustee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180"/>
        <w:spacing w:after="0" w:line="255" w:lineRule="auto"/>
        <w:rPr>
          <w:sz w:val="20"/>
          <w:szCs w:val="20"/>
          <w:color w:val="auto"/>
        </w:rPr>
      </w:pPr>
      <w:r>
        <w:rPr>
          <w:rFonts w:ascii="Times New Roman" w:cs="Times New Roman" w:eastAsia="Times New Roman" w:hAnsi="Times New Roman"/>
          <w:sz w:val="18"/>
          <w:szCs w:val="18"/>
          <w:color w:val="auto"/>
        </w:rPr>
        <w:t>the Series 2010-6 Noteholders, as applicable, (v) the Administrative Agent shall have received, to the extent reasonably requested by the Administrative Agent (or by any Funding Agent or Non-Conduit Purchaser through the Administrative Agent) from the Administrator, all documentation and other information about ABRCF and its Affiliates required by regulatory authorities under applicable “know your customer” and anti-money laundering rules and regulations, including the Patriot Act, (vi) the amendment, dated as of the date hereof, to the Series 2015-3 Supplement shall have been executed and delivered by the parties thereto and all conditions precedent to the effectiveness thereof shall have been satisfied or waived and (vii) ABRCF shall have delivered a transaction summary, as required to be disclosed pursuant to Article 7 of the EU Securitization Regulation, in final form (such later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1304"/>
        <w:spacing w:after="0" w:line="282" w:lineRule="auto"/>
        <w:tabs>
          <w:tab w:leader="none" w:pos="19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Effective Date, all references to the Series 2010-6 Supplement shall be deemed to be references to the Series 2010-6 Supplement as amended hereby.</w:t>
      </w:r>
    </w:p>
    <w:p>
      <w:pPr>
        <w:spacing w:after="0" w:line="161" w:lineRule="exact"/>
        <w:rPr>
          <w:rFonts w:ascii="Times New Roman" w:cs="Times New Roman" w:eastAsia="Times New Roman" w:hAnsi="Times New Roman"/>
          <w:sz w:val="18"/>
          <w:szCs w:val="18"/>
          <w:color w:val="auto"/>
        </w:rPr>
      </w:pPr>
    </w:p>
    <w:p>
      <w:pPr>
        <w:ind w:firstLine="1304"/>
        <w:spacing w:after="0" w:line="254" w:lineRule="auto"/>
        <w:tabs>
          <w:tab w:leader="none" w:pos="19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18"/>
          <w:szCs w:val="18"/>
          <w:color w:val="auto"/>
        </w:rPr>
      </w:pPr>
    </w:p>
    <w:p>
      <w:pPr>
        <w:ind w:right="1020" w:firstLine="1304"/>
        <w:spacing w:after="0" w:line="282" w:lineRule="auto"/>
        <w:tabs>
          <w:tab w:leader="none" w:pos="19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 w:name="page14"/>
    <w:bookmarkEnd w:id="1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have caused this Amendment to be duly executed by their respective duly authorized officers as of the date above first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Treasurer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 N.A.,</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Trustee and Series 2010-6 Agent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Mitchell L. Brumwell</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Mitchell L. Brumwell</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AGREED, ACKNOWLEDGED AND CONSENTED: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STREET FUNDING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Corrigan</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J. Corrigan</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and an APA Bank under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Series 2010-6 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Elie Silver</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Elie Silver</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BARTON CAPITAL S.A.,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Erwan Rozé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Erwan Rozé</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SOCIETE GENERALE,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as a Funding Agent and an APA Bank under</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Series 2010-6 Supplement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Erwan Rozé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Erwan Rozé</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FALCON ASSET FUNDING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 Series 2010-6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ATLANTIC ASSET SECURITIZATION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 as</w:t>
            </w:r>
          </w:p>
        </w:tc>
      </w:tr>
      <w:tr>
        <w:trPr>
          <w:trHeight w:val="234"/>
        </w:trPr>
        <w:tc>
          <w:tcPr>
            <w:tcW w:w="58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R. Nunez</w:t>
            </w: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R. Nunez</w:t>
            </w: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Klepper</w:t>
            </w: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Roger Klepper</w:t>
            </w: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AGRICOLE CORPORATE AND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and an APA Bank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R. Nunez</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R. Nunez</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67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Klepper</w:t>
            </w:r>
          </w:p>
        </w:tc>
        <w:tc>
          <w:tcPr>
            <w:tcW w:w="674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Roger Klepper</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BANK OF AMERICA, NATIONAL ASSOCIATION,</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Estes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Andrew Estes</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THUNDER BAY FUNDING,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 as</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Wang</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Lisa Wang</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and an APA Bank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Lisa Wang</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Lisa Wang</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c>
          <w:tcPr>
            <w:tcW w:w="67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Irina Snyder</w:t>
            </w:r>
          </w:p>
        </w:tc>
        <w:tc>
          <w:tcPr>
            <w:tcW w:w="674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Irina Snyder</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STARBIRD FUNDING CORPORATION,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DeAngelis</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V. DeAngelis</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and an APA Bank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Carl Spalding</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Carl Spalding</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67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Jeffrey Orr</w:t>
            </w:r>
          </w:p>
        </w:tc>
        <w:tc>
          <w:tcPr>
            <w:tcW w:w="674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Jeffrey Orr</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BANK OF MONTREAL,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Keskic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Benjamin Keskic</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FAIRWAY FINANCE COMPANY, LLC,</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Irina Khaimova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Irina Khaimova</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Funding Agent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Linsday Banuelos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Linsday Banuelos</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VICTORY RECEIVABLES CORPORATION,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CP 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Corrigan</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J. Corrigan</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BANK, LTD.,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Funding Agent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Brian Chin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BANK, LTD.,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Brian Chin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LLOYDS BANK PLC,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Edward Leng</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Edward Leng</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Olivier Riffaud</w:t>
            </w:r>
          </w:p>
        </w:tc>
        <w:tc>
          <w:tcPr>
            <w:tcW w:w="674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Olivier Riffaud</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Emily Shields</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Emily Shields</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 Cramer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Brad Cramer</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McElroy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Joseph McElroy</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9" w:name="page30"/>
    <w:bookmarkEnd w:id="29"/>
    <w:p>
      <w:pPr>
        <w:jc w:val="center"/>
        <w:ind w:right="7039"/>
        <w:spacing w:after="0"/>
        <w:rPr>
          <w:sz w:val="20"/>
          <w:szCs w:val="20"/>
          <w:color w:val="auto"/>
        </w:rPr>
      </w:pPr>
      <w:r>
        <w:rPr>
          <w:rFonts w:ascii="Times New Roman" w:cs="Times New Roman" w:eastAsia="Times New Roman" w:hAnsi="Times New Roman"/>
          <w:sz w:val="17"/>
          <w:szCs w:val="17"/>
          <w:color w:val="auto"/>
        </w:rPr>
        <w:t>U.S. BANK NATIONAL ASSOCIATION,</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Pawel Bania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Pawel Bania</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MIZUHO BANK, LTD.,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Ebrahim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Jeremy Ebrahim</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Devon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Devon Patton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REGIONS BANK,</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Non-Conduit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Pietra</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Kathryn Pietra</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BANNER TRUST,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Jamie Giles</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Jamie Giles</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Susan Calder</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Series 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Jamie Giles</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Jamie Giles</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AESOP LEASING, 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Committed Note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2010-6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ectPr>
          <w:pgSz w:w="11900" w:h="16838" w:orient="portrait"/>
          <w:cols w:equalWidth="0" w:num="1">
            <w:col w:w="9019"/>
          </w:cols>
          <w:pgMar w:left="1440" w:top="792" w:right="1440" w:bottom="1440" w:gutter="0" w:footer="0" w:header="0"/>
        </w:sect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1945005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SCHEDULE I-A TO SIXTH AMENDED AND RESTATED SERIES 2010-6 SUPPLEMENT</w:t>
      </w:r>
    </w:p>
    <w:p>
      <w:pPr>
        <w:sectPr>
          <w:pgSz w:w="11900" w:h="16838" w:orient="portrait"/>
          <w:cols w:equalWidth="0" w:num="1">
            <w:col w:w="9019"/>
          </w:cols>
          <w:pgMar w:left="1440" w:top="796"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CP Conduit Purchaser Groups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Non-Conduit Purchasers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Committed Note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1048385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type w:val="continuous"/>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SCHEDULE I-B TO SIXTH AMENDED AND RESTATED SERIES 2010-6 SUPPLEMENT</w:t>
      </w:r>
    </w:p>
    <w:p>
      <w:pPr>
        <w:sectPr>
          <w:pgSz w:w="11900" w:h="16838" w:orient="portrait"/>
          <w:cols w:equalWidth="0" w:num="1">
            <w:col w:w="9019"/>
          </w:cols>
          <w:pgMar w:left="1440" w:top="796"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CP Conduit Purchaser Groups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Non-Conduit Purchasers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Committed Note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type w:val="continuous"/>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J: Form of Supplemental Indenture No. 5 to the Second Amended and Restated 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1330325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FOURTH AMENDMENT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FOURTH AMENDED AND RESTATED SERIES 2015-3 SUPPLEMENT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FOURTH AMENDMENT TO THE FOURTH AMENDED AND RESTATED SERIES 2015-3 SUPPLEMENT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30, 2026 amends the Fourth Amended and Restated Series 2015-3 Supplement (as amended to date, the “</w:t>
      </w:r>
      <w:r>
        <w:rPr>
          <w:rFonts w:ascii="Times New Roman" w:cs="Times New Roman" w:eastAsia="Times New Roman" w:hAnsi="Times New Roman"/>
          <w:sz w:val="18"/>
          <w:szCs w:val="18"/>
          <w:u w:val="single" w:color="auto"/>
          <w:color w:val="auto"/>
        </w:rPr>
        <w:t>Series 2015-3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dated as of March 4, 2024, among AVIS BUDGET RENTAL CAR FUNDING (AESOP) LLC, a special purpose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AVIS BUDGET CAR RENTAL, LLC, a limited liability company established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as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JPMORGAN CHASE BANK, N.A., a national banking association, as administrative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several banks set forth on Schedule I thereto as Non-Conduit Purchasers (each, a “</w:t>
      </w:r>
      <w:r>
        <w:rPr>
          <w:rFonts w:ascii="Times New Roman" w:cs="Times New Roman" w:eastAsia="Times New Roman" w:hAnsi="Times New Roman"/>
          <w:sz w:val="18"/>
          <w:szCs w:val="18"/>
          <w:u w:val="single" w:color="auto"/>
          <w:color w:val="auto"/>
        </w:rPr>
        <w:t>Non-Conduit Purchaser</w:t>
      </w:r>
      <w:r>
        <w:rPr>
          <w:rFonts w:ascii="Times New Roman" w:cs="Times New Roman" w:eastAsia="Times New Roman" w:hAnsi="Times New Roman"/>
          <w:sz w:val="18"/>
          <w:szCs w:val="18"/>
          <w:color w:val="auto"/>
        </w:rPr>
        <w:t>”),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conduits listed on Schedule I thereto (each, a “</w:t>
      </w:r>
      <w:r>
        <w:rPr>
          <w:rFonts w:ascii="Times New Roman" w:cs="Times New Roman" w:eastAsia="Times New Roman" w:hAnsi="Times New Roman"/>
          <w:sz w:val="18"/>
          <w:szCs w:val="18"/>
          <w:u w:val="single" w:color="auto"/>
          <w:color w:val="auto"/>
        </w:rPr>
        <w:t>CP Conduit Purchaser</w:t>
      </w:r>
      <w:r>
        <w:rPr>
          <w:rFonts w:ascii="Times New Roman" w:cs="Times New Roman" w:eastAsia="Times New Roman" w:hAnsi="Times New Roman"/>
          <w:sz w:val="18"/>
          <w:szCs w:val="18"/>
          <w:color w:val="auto"/>
        </w:rPr>
        <w:t>”), the several banks set forth opposite the name of each CP Conduit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on Schedule I thereto (each, an “</w:t>
      </w:r>
      <w:r>
        <w:rPr>
          <w:rFonts w:ascii="Times New Roman" w:cs="Times New Roman" w:eastAsia="Times New Roman" w:hAnsi="Times New Roman"/>
          <w:sz w:val="18"/>
          <w:szCs w:val="18"/>
          <w:u w:val="single" w:color="auto"/>
          <w:color w:val="auto"/>
        </w:rPr>
        <w:t>APA Bank</w:t>
      </w:r>
      <w:r>
        <w:rPr>
          <w:rFonts w:ascii="Times New Roman" w:cs="Times New Roman" w:eastAsia="Times New Roman" w:hAnsi="Times New Roman"/>
          <w:sz w:val="18"/>
          <w:szCs w:val="18"/>
          <w:color w:val="auto"/>
        </w:rPr>
        <w:t>” with respect to such CP Conduit Purchaser), the several agent banks set forth opposite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CP Conduit Purchaser on Schedule I thereto (each, a “</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with respect to such CP Conduit Purchaser), the entities set forth on Schedule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as Committed Note Purchasers (each, a “</w:t>
      </w:r>
      <w:r>
        <w:rPr>
          <w:rFonts w:ascii="Times New Roman" w:cs="Times New Roman" w:eastAsia="Times New Roman" w:hAnsi="Times New Roman"/>
          <w:sz w:val="18"/>
          <w:szCs w:val="18"/>
          <w:u w:val="single" w:color="auto"/>
          <w:color w:val="auto"/>
        </w:rPr>
        <w:t>Committed Note Purchaser</w:t>
      </w:r>
      <w:r>
        <w:rPr>
          <w:rFonts w:ascii="Times New Roman" w:cs="Times New Roman" w:eastAsia="Times New Roman" w:hAnsi="Times New Roman"/>
          <w:sz w:val="18"/>
          <w:szCs w:val="18"/>
          <w:color w:val="auto"/>
        </w:rPr>
        <w:t>”), THE BANK OF NEW YORK MELLON TRUST COMPANY, N.A.,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banking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agent for the benefit of the Series 2015-3 Noteholders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Agent</w:t>
      </w:r>
      <w:r>
        <w:rPr>
          <w:rFonts w:ascii="Times New Roman" w:cs="Times New Roman" w:eastAsia="Times New Roman" w:hAnsi="Times New Roman"/>
          <w:sz w:val="18"/>
          <w:szCs w:val="18"/>
          <w:color w:val="auto"/>
        </w:rPr>
        <w:t>”), to the Second Amended and Restated Base Indenture, dated as of June 3, 2004, between ABRCF and the Trustee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All capitalized terms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and not otherwise defined herein shall have the respective meanings provided therefor in the Definitions List attached as Schedule I to the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(as amended through the date hereof) or the Series 2015-3 Supplement, as applicable.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12.2 of the Base Indenture, any Supplement thereto may be amended with the consent of ABRCF, the Trustee, any applicable Enhancement Provider and in connection with certain amendments, either the Required Noteholders of a Series of Notes or each affected Noteholder, as applicable;</w:t>
      </w:r>
    </w:p>
    <w:p>
      <w:pPr>
        <w:spacing w:after="0" w:line="176"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11.11 of the Series 2015-3 Supplement, (x) the Series 2015-3 Supplement may be amended in accordance with Section 12.2 of the Base Indenture and (y) the requirement contained in Section 12.2 of the Base Indenture for consent by the Required Noteholders to the amendment of the Series 2015-3 Supplement shall be satisfied upon attaining the consent of the Requisite Noteholders;</w:t>
      </w:r>
    </w:p>
    <w:p>
      <w:pPr>
        <w:spacing w:after="0" w:line="176" w:lineRule="exact"/>
        <w:rPr>
          <w:sz w:val="20"/>
          <w:szCs w:val="20"/>
          <w:color w:val="auto"/>
        </w:rPr>
      </w:pPr>
    </w:p>
    <w:p>
      <w:pPr>
        <w:jc w:val="both"/>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WHEREAS, the parties desire to amend the Series 2015-3 Supplement to (i) extend the expiry date with respect to the Class A Notes and the Class B Notes, (ii) extend the Reduction Date, (iii) replace Schedule I thereto with a new Schedule I in the form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Amendment, (iv) revise the definitions and requirements associated with the acquisition and maintenance of the Series 2015-3 Interest Rate Caps given the occurrence of the Interest Rate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right="220"/>
        <w:spacing w:after="0" w:line="282" w:lineRule="auto"/>
        <w:rPr>
          <w:sz w:val="20"/>
          <w:szCs w:val="20"/>
          <w:color w:val="auto"/>
        </w:rPr>
      </w:pPr>
      <w:r>
        <w:rPr>
          <w:rFonts w:ascii="Times New Roman" w:cs="Times New Roman" w:eastAsia="Times New Roman" w:hAnsi="Times New Roman"/>
          <w:sz w:val="18"/>
          <w:szCs w:val="18"/>
          <w:color w:val="auto"/>
        </w:rPr>
        <w:t>Expiry Date, (v) revise certain definitions related to the Enhancement, and (vi) replace Exhibit J thereto with new Exhibit J in the form of Schedule B to this Amendment; and</w:t>
      </w:r>
    </w:p>
    <w:p>
      <w:pPr>
        <w:spacing w:after="0" w:line="162"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WHEREAS, ABRCF has requested the Trustee, the Series 2015-3 Agent, the Administrator, the Administrative Agent and the Series 2015-3 Noteholders to, and, upon the effectiveness of this Amendment, ABRCF, the Trustee, the Series 2015-3 Agent, the Administrator, the Administrative Agent and each Series 2015-3 Noteholder have agreed to, make the amendments described above as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right="40" w:firstLine="1304"/>
        <w:spacing w:after="0" w:line="282" w:lineRule="auto"/>
        <w:tabs>
          <w:tab w:leader="none" w:pos="18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Definitions</w:t>
      </w:r>
      <w:r>
        <w:rPr>
          <w:rFonts w:ascii="Times New Roman" w:cs="Times New Roman" w:eastAsia="Times New Roman" w:hAnsi="Times New Roman"/>
          <w:sz w:val="18"/>
          <w:szCs w:val="18"/>
          <w:color w:val="auto"/>
        </w:rPr>
        <w:t>. The following definitions are hereby amended and restated as follows, (i) by deleting the text thereof which is lined out and (ii) by inserting the text thereof which is double underlined:</w:t>
      </w:r>
    </w:p>
    <w:p>
      <w:pPr>
        <w:spacing w:after="0" w:line="162" w:lineRule="exact"/>
        <w:rPr>
          <w:sz w:val="20"/>
          <w:szCs w:val="20"/>
          <w:color w:val="auto"/>
        </w:rPr>
      </w:pPr>
    </w:p>
    <w:p>
      <w:pPr>
        <w:ind w:left="660"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Scheduled Expiry Date</w:t>
      </w:r>
      <w:r>
        <w:rPr>
          <w:rFonts w:ascii="Times New Roman" w:cs="Times New Roman" w:eastAsia="Times New Roman" w:hAnsi="Times New Roman"/>
          <w:sz w:val="18"/>
          <w:szCs w:val="18"/>
          <w:color w:val="auto"/>
        </w:rPr>
        <w:t xml:space="preserve">” means, with respect to any Purchaser Group of the Class A Notes, </w:t>
      </w:r>
      <w:r>
        <w:rPr>
          <w:rFonts w:ascii="Times New Roman" w:cs="Times New Roman" w:eastAsia="Times New Roman" w:hAnsi="Times New Roman"/>
          <w:sz w:val="18"/>
          <w:szCs w:val="18"/>
          <w:color w:val="auto"/>
          <w:strike w:val="1"/>
        </w:rPr>
        <w:t>April 1, 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April 30, 2028</w:t>
      </w:r>
      <w:r>
        <w:rPr>
          <w:rFonts w:ascii="Times New Roman" w:cs="Times New Roman" w:eastAsia="Times New Roman" w:hAnsi="Times New Roman"/>
          <w:sz w:val="18"/>
          <w:szCs w:val="18"/>
          <w:color w:val="auto"/>
        </w:rPr>
        <w:t>, as such date may be extended in accordance with Section 2.6(b).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-185420</wp:posOffset>
            </wp:positionV>
            <wp:extent cx="669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42" w:lineRule="exact"/>
        <w:rPr>
          <w:sz w:val="20"/>
          <w:szCs w:val="20"/>
          <w:color w:val="auto"/>
        </w:rPr>
      </w:pPr>
    </w:p>
    <w:p>
      <w:pPr>
        <w:ind w:left="660"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Scheduled Expiry Date</w:t>
      </w:r>
      <w:r>
        <w:rPr>
          <w:rFonts w:ascii="Times New Roman" w:cs="Times New Roman" w:eastAsia="Times New Roman" w:hAnsi="Times New Roman"/>
          <w:sz w:val="18"/>
          <w:szCs w:val="18"/>
          <w:color w:val="auto"/>
        </w:rPr>
        <w:t xml:space="preserve">” means, with respect to any Purchaser Group of the Class B Notes, </w:t>
      </w:r>
      <w:r>
        <w:rPr>
          <w:rFonts w:ascii="Times New Roman" w:cs="Times New Roman" w:eastAsia="Times New Roman" w:hAnsi="Times New Roman"/>
          <w:sz w:val="18"/>
          <w:szCs w:val="18"/>
          <w:color w:val="auto"/>
          <w:strike w:val="1"/>
        </w:rPr>
        <w:t>April 30,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April 30, 2027</w:t>
      </w:r>
      <w:r>
        <w:rPr>
          <w:rFonts w:ascii="Times New Roman" w:cs="Times New Roman" w:eastAsia="Times New Roman" w:hAnsi="Times New Roman"/>
          <w:sz w:val="18"/>
          <w:szCs w:val="18"/>
          <w:color w:val="auto"/>
        </w:rPr>
        <w:t>, as such date may be extended in accordance with Section 2.6(b).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-185420</wp:posOffset>
            </wp:positionV>
            <wp:extent cx="669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 Date</w:t>
      </w:r>
      <w:r>
        <w:rPr>
          <w:rFonts w:ascii="Times New Roman" w:cs="Times New Roman" w:eastAsia="Times New Roman" w:hAnsi="Times New Roman"/>
          <w:sz w:val="18"/>
          <w:szCs w:val="18"/>
          <w:color w:val="auto"/>
        </w:rPr>
        <w:t xml:space="preserve">” means November 1, </w:t>
      </w:r>
      <w:r>
        <w:rPr>
          <w:rFonts w:ascii="Times New Roman" w:cs="Times New Roman" w:eastAsia="Times New Roman" w:hAnsi="Times New Roman"/>
          <w:sz w:val="18"/>
          <w:szCs w:val="18"/>
          <w:color w:val="auto"/>
          <w:strike w:val="1"/>
        </w:rPr>
        <w:t>2025</w:t>
      </w:r>
      <w:r>
        <w:rPr>
          <w:rFonts w:ascii="Times New Roman" w:cs="Times New Roman" w:eastAsia="Times New Roman" w:hAnsi="Times New Roman"/>
          <w:sz w:val="18"/>
          <w:szCs w:val="18"/>
          <w:u w:val="single" w:color="auto"/>
          <w:color w:val="auto"/>
        </w:rPr>
        <w:t>2026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A DBRS Below Investment Grade Non-Program Enhancement Rate</w:t>
      </w:r>
      <w:r>
        <w:rPr>
          <w:rFonts w:ascii="Times New Roman" w:cs="Times New Roman" w:eastAsia="Times New Roman" w:hAnsi="Times New Roman"/>
          <w:sz w:val="18"/>
          <w:szCs w:val="18"/>
          <w:color w:val="auto"/>
        </w:rPr>
        <w:t xml:space="preserve">” means, as of any date of determination, the sum of (a) </w:t>
      </w:r>
      <w:r>
        <w:rPr>
          <w:rFonts w:ascii="Times New Roman" w:cs="Times New Roman" w:eastAsia="Times New Roman" w:hAnsi="Times New Roman"/>
          <w:sz w:val="18"/>
          <w:szCs w:val="18"/>
          <w:color w:val="auto"/>
          <w:strike w:val="1"/>
        </w:rPr>
        <w:t>(1) if such date of determination occurs before the Series 2015-3 Interest Rate Cap Expiry Date, 38.25% or (2)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on or after the Series 2015-3 Interest Rate Cap Expiry Date, 38.25</w:t>
      </w:r>
      <w:r>
        <w:rPr>
          <w:rFonts w:ascii="Times New Roman" w:cs="Times New Roman" w:eastAsia="Times New Roman" w:hAnsi="Times New Roman"/>
          <w:sz w:val="18"/>
          <w:szCs w:val="18"/>
          <w:u w:val="single" w:color="auto"/>
          <w:color w:val="auto"/>
        </w:rPr>
        <w:t>37.50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2015-3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2015-3 Excess Tesla 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-715010</wp:posOffset>
            </wp:positionV>
            <wp:extent cx="257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72"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A DBRS Below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date of determination occurs before the Series 2015-3 Interest Rate Cap Expiry Date, 37.00% or (b) if such date of determination occurs on or after the Series 2015-3 Interest Rate Cap Expiry Date, 37.00%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A DBRS Investment Grade Non-Program Enhancement Rate</w:t>
      </w:r>
      <w:r>
        <w:rPr>
          <w:rFonts w:ascii="Times New Roman" w:cs="Times New Roman" w:eastAsia="Times New Roman" w:hAnsi="Times New Roman"/>
          <w:sz w:val="18"/>
          <w:szCs w:val="18"/>
          <w:color w:val="auto"/>
        </w:rPr>
        <w:t>” means, as of any date of determination, the sum of</w:t>
      </w:r>
    </w:p>
    <w:p>
      <w:pPr>
        <w:spacing w:after="0" w:line="27" w:lineRule="exact"/>
        <w:rPr>
          <w:sz w:val="20"/>
          <w:szCs w:val="20"/>
          <w:color w:val="auto"/>
        </w:rPr>
      </w:pPr>
    </w:p>
    <w:p>
      <w:pPr>
        <w:ind w:left="5580" w:right="2580" w:hanging="4924"/>
        <w:spacing w:after="0" w:line="511"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(1) if such date of determination occurs before the Series 2015-3 Interest Rate Cap Expiry Date, 29.25% or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2" w:name="page43"/>
    <w:bookmarkEnd w:id="42"/>
    <w:p>
      <w:pPr>
        <w:ind w:left="4" w:hanging="4"/>
        <w:spacing w:after="0" w:line="256"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date of determination occurs on or after the Series 2015-3 Interest Rate Cap Expiry Date, 29.25</w:t>
      </w:r>
      <w:r>
        <w:rPr>
          <w:rFonts w:ascii="Times New Roman" w:cs="Times New Roman" w:eastAsia="Times New Roman" w:hAnsi="Times New Roman"/>
          <w:sz w:val="18"/>
          <w:szCs w:val="18"/>
          <w:u w:val="single" w:color="auto"/>
          <w:color w:val="auto"/>
        </w:rPr>
        <w:t>29.00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2015-3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2015-3 Excess Tesla 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4853940</wp:posOffset>
            </wp:positionH>
            <wp:positionV relativeFrom="paragraph">
              <wp:posOffset>-717550</wp:posOffset>
            </wp:positionV>
            <wp:extent cx="257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67" w:lineRule="exact"/>
        <w:rPr>
          <w:sz w:val="20"/>
          <w:szCs w:val="20"/>
          <w:color w:val="auto"/>
        </w:rPr>
      </w:pPr>
    </w:p>
    <w:p>
      <w:pPr>
        <w:ind w:left="4"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A DBRS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before the Series 2015-3 Interest Rate Cap Expiry Date, 14.00% or (b) if such date of determination occurs on or after the Series 2015-3 Interest Rate Cap Expiry Date, 14.00</w:t>
      </w:r>
      <w:r>
        <w:rPr>
          <w:rFonts w:ascii="Times New Roman" w:cs="Times New Roman" w:eastAsia="Times New Roman" w:hAnsi="Times New Roman"/>
          <w:sz w:val="18"/>
          <w:szCs w:val="18"/>
          <w:u w:val="single" w:color="auto"/>
          <w:color w:val="auto"/>
          <w:strike w:val="1"/>
        </w:rPr>
        <w:t>12.00</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-38735</wp:posOffset>
            </wp:positionV>
            <wp:extent cx="257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ind w:left="4" w:right="2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A DBRS Trucks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occurs before the Series 2015-3 Interest Rate Cap Expiry Date, 55.75% or (b) if such date of determination occurs on or after the Series 2015-3 Interest Rate Cap Expiry Date, 55.75%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176" w:lineRule="exact"/>
        <w:rPr>
          <w:sz w:val="20"/>
          <w:szCs w:val="20"/>
          <w:color w:val="auto"/>
        </w:rPr>
      </w:pPr>
    </w:p>
    <w:p>
      <w:pPr>
        <w:ind w:left="4" w:right="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B DBRS Below Investment Grade Non-Program Enhancement Rate</w:t>
      </w:r>
      <w:r>
        <w:rPr>
          <w:rFonts w:ascii="Times New Roman" w:cs="Times New Roman" w:eastAsia="Times New Roman" w:hAnsi="Times New Roman"/>
          <w:sz w:val="18"/>
          <w:szCs w:val="18"/>
          <w:color w:val="auto"/>
        </w:rPr>
        <w:t xml:space="preserve">” means, as of any date of determination, the sum of (a) </w:t>
      </w:r>
      <w:r>
        <w:rPr>
          <w:rFonts w:ascii="Times New Roman" w:cs="Times New Roman" w:eastAsia="Times New Roman" w:hAnsi="Times New Roman"/>
          <w:sz w:val="18"/>
          <w:szCs w:val="18"/>
          <w:color w:val="auto"/>
          <w:strike w:val="1"/>
        </w:rPr>
        <w:t>(1) if such date of determination occurs before the Series 2015-3 Interest Rate Cap Expiry Date, 28.75% or (2)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on or after the Series 2015-3 Interest Rate Cap Expiry Date, 28.75</w:t>
      </w:r>
      <w:r>
        <w:rPr>
          <w:rFonts w:ascii="Times New Roman" w:cs="Times New Roman" w:eastAsia="Times New Roman" w:hAnsi="Times New Roman"/>
          <w:sz w:val="18"/>
          <w:szCs w:val="18"/>
          <w:u w:val="single" w:color="auto"/>
          <w:color w:val="auto"/>
        </w:rPr>
        <w:t>28.25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2015-3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2015-3 Excess Tesla 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-715010</wp:posOffset>
            </wp:positionV>
            <wp:extent cx="257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72" w:lineRule="exact"/>
        <w:rPr>
          <w:sz w:val="20"/>
          <w:szCs w:val="20"/>
          <w:color w:val="auto"/>
        </w:rPr>
      </w:pPr>
    </w:p>
    <w:p>
      <w:pPr>
        <w:ind w:left="4"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B DBRS Below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date of determination occurs before the Series 2015-3 Interest Rate Cap Expiry Date, 27.75% or (b) if such date of determination occurs on or after the Series 2015-3 Interest Rate Cap Expiry Date, 27.75%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B DBRS Investment Grade Non-Program Enhancement Rate</w:t>
      </w:r>
      <w:r>
        <w:rPr>
          <w:rFonts w:ascii="Times New Roman" w:cs="Times New Roman" w:eastAsia="Times New Roman" w:hAnsi="Times New Roman"/>
          <w:sz w:val="18"/>
          <w:szCs w:val="18"/>
          <w:color w:val="auto"/>
        </w:rPr>
        <w:t>” means, as of any date of determination, the sum of</w:t>
      </w:r>
    </w:p>
    <w:p>
      <w:pPr>
        <w:spacing w:after="0" w:line="27" w:lineRule="exact"/>
        <w:rPr>
          <w:sz w:val="20"/>
          <w:szCs w:val="20"/>
          <w:color w:val="auto"/>
        </w:rPr>
      </w:pPr>
    </w:p>
    <w:p>
      <w:pPr>
        <w:ind w:left="4" w:right="280" w:hanging="4"/>
        <w:spacing w:after="0" w:line="260" w:lineRule="auto"/>
        <w:tabs>
          <w:tab w:leader="none" w:pos="2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(1) if such date of determination occurs before the Series 2015-3 Interest Rate Cap Expiry Date, 21.75% or (2) if such date of determination occurs on or after the Series 2015-3 Interest Rate Cap Expiry Date,</w:t>
      </w:r>
    </w:p>
    <w:p>
      <w:pPr>
        <w:spacing w:after="0" w:line="1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43" w:name="page44"/>
    <w:bookmarkEnd w:id="43"/>
    <w:p>
      <w:pPr>
        <w:ind w:left="660" w:right="100"/>
        <w:spacing w:after="0" w:line="256" w:lineRule="auto"/>
        <w:rPr>
          <w:sz w:val="20"/>
          <w:szCs w:val="20"/>
          <w:color w:val="auto"/>
        </w:rPr>
      </w:pPr>
      <w:r>
        <w:rPr>
          <w:rFonts w:ascii="Times New Roman" w:cs="Times New Roman" w:eastAsia="Times New Roman" w:hAnsi="Times New Roman"/>
          <w:sz w:val="18"/>
          <w:szCs w:val="18"/>
          <w:color w:val="auto"/>
        </w:rPr>
        <w:t>21.75</w:t>
      </w:r>
      <w:r>
        <w:rPr>
          <w:rFonts w:ascii="Times New Roman" w:cs="Times New Roman" w:eastAsia="Times New Roman" w:hAnsi="Times New Roman"/>
          <w:sz w:val="18"/>
          <w:szCs w:val="18"/>
          <w:u w:val="single" w:color="auto"/>
          <w:color w:val="auto"/>
        </w:rPr>
        <w:t>21.65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2015-3 Enhancement Rate Reduction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greater of (x) the highest, for any calendar month within the preceding twelve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three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w:t>
      </w:r>
      <w:r>
        <w:rPr>
          <w:rFonts w:ascii="Times New Roman" w:cs="Times New Roman" w:eastAsia="Times New Roman" w:hAnsi="Times New Roman"/>
          <w:sz w:val="18"/>
          <w:szCs w:val="18"/>
          <w:color w:val="auto"/>
          <w:strike w:val="1"/>
        </w:rPr>
        <w:t>and (c) a percentage equal to the product of (x) the Series 2015-3 Excess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Percentage and (y)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-700405</wp:posOffset>
            </wp:positionV>
            <wp:extent cx="257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7"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B DBRS Investment Grade Program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occurs before the Series 2015-3 Interest Rate Cap Expiry Date, 10.60% or (b) if such date of determination occurs on or after the Series 2015-3 Interest Rate Cap Expiry Date, 10.60</w:t>
      </w:r>
      <w:r>
        <w:rPr>
          <w:rFonts w:ascii="Times New Roman" w:cs="Times New Roman" w:eastAsia="Times New Roman" w:hAnsi="Times New Roman"/>
          <w:sz w:val="18"/>
          <w:szCs w:val="18"/>
          <w:u w:val="single" w:color="auto"/>
          <w:color w:val="auto"/>
          <w:strike w:val="1"/>
        </w:rPr>
        <w:t>8.60</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-38735</wp:posOffset>
            </wp:positionV>
            <wp:extent cx="200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6" w:lineRule="exact"/>
        <w:rPr>
          <w:sz w:val="20"/>
          <w:szCs w:val="20"/>
          <w:color w:val="auto"/>
        </w:rPr>
      </w:pPr>
    </w:p>
    <w:p>
      <w:pPr>
        <w:ind w:left="660"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Class B DBRS Trucks Enhancement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auto"/>
          <w:strike w:val="1"/>
        </w:rPr>
        <w:t>(a) if such date of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occurs before the Series 2015-3 Interest Rate Cap Expiry Date, 48.75% or (b) if such date of determination occurs on or after the Series 2015-3 Interest Rate Cap Expiry Date, 48.75%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the Series 2015-3 Enhancement Rate Reduction.</w:t>
      </w:r>
    </w:p>
    <w:p>
      <w:pPr>
        <w:spacing w:after="0" w:line="17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Maximum Manufacturer Amount</w:t>
      </w:r>
      <w:r>
        <w:rPr>
          <w:rFonts w:ascii="Times New Roman" w:cs="Times New Roman" w:eastAsia="Times New Roman" w:hAnsi="Times New Roman"/>
          <w:sz w:val="18"/>
          <w:szCs w:val="18"/>
          <w:color w:val="auto"/>
        </w:rPr>
        <w:t xml:space="preserve">” means, as of any day, any of the Series 2015-3 Maximum Hyundai Amount, the Series 2015-3 Maximum Isuzu Amount, the Series 2015-3 Maximum Jaguar Amount, the Series 2015-3 Maximum Kia Amount, the Series 2015-3 Maximum Land Rover Amount, the Series 2015-3 Maximum Medium/Heavy Duty Truck Amount, the Series 2015-3 Maximum Mitsubishi Amount, the Series 2015-3 Maximum Subaru Amount, the Series 2015-3 Maximum Suzuki Amount or the Series 2015-3 Maximum </w:t>
      </w:r>
      <w:r>
        <w:rPr>
          <w:rFonts w:ascii="Times New Roman" w:cs="Times New Roman" w:eastAsia="Times New Roman" w:hAnsi="Times New Roman"/>
          <w:sz w:val="18"/>
          <w:szCs w:val="18"/>
          <w:color w:val="auto"/>
          <w:strike w:val="1"/>
        </w:rPr>
        <w:t>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Electric</w:t>
      </w:r>
      <w:r>
        <w:rPr>
          <w:rFonts w:ascii="Times New Roman" w:cs="Times New Roman" w:eastAsia="Times New Roman" w:hAnsi="Times New Roman"/>
          <w:sz w:val="18"/>
          <w:szCs w:val="18"/>
          <w:color w:val="auto"/>
        </w:rPr>
        <w:t xml:space="preserve"> Vehicle Amount.</w:t>
      </w:r>
    </w:p>
    <w:p>
      <w:pPr>
        <w:spacing w:after="0" w:line="183" w:lineRule="exact"/>
        <w:rPr>
          <w:sz w:val="20"/>
          <w:szCs w:val="20"/>
          <w:color w:val="auto"/>
        </w:rPr>
      </w:pPr>
    </w:p>
    <w:p>
      <w:pPr>
        <w:ind w:left="660"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Required Liquidity Amount</w:t>
      </w:r>
      <w:r>
        <w:rPr>
          <w:rFonts w:ascii="Times New Roman" w:cs="Times New Roman" w:eastAsia="Times New Roman" w:hAnsi="Times New Roman"/>
          <w:sz w:val="18"/>
          <w:szCs w:val="18"/>
          <w:color w:val="auto"/>
        </w:rPr>
        <w:t xml:space="preserve">” means, with respect to any Distribution Date, an amount equal to, </w:t>
      </w:r>
      <w:r>
        <w:rPr>
          <w:rFonts w:ascii="Times New Roman" w:cs="Times New Roman" w:eastAsia="Times New Roman" w:hAnsi="Times New Roman"/>
          <w:sz w:val="18"/>
          <w:szCs w:val="18"/>
          <w:color w:val="auto"/>
          <w:strike w:val="1"/>
        </w:rPr>
        <w:t>if (1) such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Date occurs before the Series 2015-3 Interest Rate Cap Expiry Date, 3.25% or (2) such Distribution Date occurs on or after the Series 2015-3 Interest Rate Cap Expiry Date, the Series 2015-3 Interest Rate Cap Liquidity Percentage for the Series 2015-3 Interest Rate Cap Period in which such Distribution Date occurs, in either case, of the sum of (x) the Class A Invested Amount on such Distribution Date and (y) the Class B Invested Amount on such Distribution Date, in each case, after giving effect to any payments of principal to be made on the Series 2015-3 Notes on such Distribution Date.</w:t>
      </w:r>
    </w:p>
    <w:p>
      <w:pPr>
        <w:spacing w:after="0" w:line="187" w:lineRule="exact"/>
        <w:rPr>
          <w:sz w:val="20"/>
          <w:szCs w:val="20"/>
          <w:color w:val="auto"/>
        </w:rPr>
      </w:pPr>
    </w:p>
    <w:p>
      <w:pPr>
        <w:ind w:left="1840" w:hanging="536"/>
        <w:spacing w:after="0"/>
        <w:tabs>
          <w:tab w:leader="none" w:pos="1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Definitions</w:t>
      </w:r>
      <w:r>
        <w:rPr>
          <w:rFonts w:ascii="Times New Roman" w:cs="Times New Roman" w:eastAsia="Times New Roman" w:hAnsi="Times New Roman"/>
          <w:sz w:val="18"/>
          <w:szCs w:val="18"/>
          <w:color w:val="auto"/>
        </w:rPr>
        <w:t>. The following definitions have been added as follows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“Electric Vehicle” means any Vehicle that constitutes a battery electric vehicle or a plug-in hybrid electric vehicle.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4" w:name="page45"/>
    <w:bookmarkEnd w:id="44"/>
    <w:p>
      <w:pPr>
        <w:ind w:left="660" w:right="2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“Series 2015-3 Maximum Electric Vehicle Amount” means, as of any day, an amount equal to 10% of the aggregate Net Book Value of all Vehicles leased under the Leases on such day.</w:t>
      </w:r>
    </w:p>
    <w:p>
      <w:pPr>
        <w:spacing w:after="0" w:line="162" w:lineRule="exact"/>
        <w:rPr>
          <w:sz w:val="20"/>
          <w:szCs w:val="20"/>
          <w:color w:val="auto"/>
        </w:rPr>
      </w:pPr>
    </w:p>
    <w:p>
      <w:pPr>
        <w:ind w:left="1840" w:hanging="536"/>
        <w:spacing w:after="0"/>
        <w:tabs>
          <w:tab w:leader="none" w:pos="1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Deletion of Definitions</w:t>
      </w:r>
      <w:r>
        <w:rPr>
          <w:rFonts w:ascii="Times New Roman" w:cs="Times New Roman" w:eastAsia="Times New Roman" w:hAnsi="Times New Roman"/>
          <w:sz w:val="18"/>
          <w:szCs w:val="18"/>
          <w:color w:val="auto"/>
        </w:rPr>
        <w:t>. The following definitions have been deleted in their entirety as follows by deleting the text thereof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lined out: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strike w:val="1"/>
        </w:rPr>
        <w:t>Series 2015-3 Excess Tesla Percentage</w:t>
      </w:r>
      <w:r>
        <w:rPr>
          <w:rFonts w:ascii="Times New Roman" w:cs="Times New Roman" w:eastAsia="Times New Roman" w:hAnsi="Times New Roman"/>
          <w:sz w:val="18"/>
          <w:szCs w:val="18"/>
          <w:color w:val="auto"/>
          <w:strike w:val="1"/>
        </w:rPr>
        <w:t>” means, as of any date of determination, the greater of (1) zero and (2) the percentage equal to</w:t>
      </w:r>
    </w:p>
    <w:p>
      <w:pPr>
        <w:spacing w:after="0" w:line="27" w:lineRule="exact"/>
        <w:rPr>
          <w:sz w:val="20"/>
          <w:szCs w:val="20"/>
          <w:color w:val="auto"/>
        </w:rPr>
      </w:pPr>
    </w:p>
    <w:p>
      <w:pPr>
        <w:ind w:left="660" w:right="520" w:hanging="4"/>
        <w:spacing w:after="0" w:line="260" w:lineRule="auto"/>
        <w:tabs>
          <w:tab w:leader="none" w:pos="915" w:val="left"/>
        </w:tabs>
        <w:numPr>
          <w:ilvl w:val="0"/>
          <w:numId w:val="3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a fraction (expressed as a percentage) equal to the aggregate Net Book Value of all Vehicles manufactured by Tesla and leased under the Leases </w:t>
      </w:r>
      <w:r>
        <w:rPr>
          <w:rFonts w:ascii="Times New Roman" w:cs="Times New Roman" w:eastAsia="Times New Roman" w:hAnsi="Times New Roman"/>
          <w:sz w:val="18"/>
          <w:szCs w:val="18"/>
          <w:u w:val="single" w:color="auto"/>
          <w:color w:val="auto"/>
          <w:strike w:val="1"/>
        </w:rPr>
        <w:t>divided</w:t>
      </w:r>
      <w:r>
        <w:rPr>
          <w:rFonts w:ascii="Times New Roman" w:cs="Times New Roman" w:eastAsia="Times New Roman" w:hAnsi="Times New Roman"/>
          <w:sz w:val="18"/>
          <w:szCs w:val="18"/>
          <w:color w:val="auto"/>
          <w:strike w:val="1"/>
        </w:rPr>
        <w:t xml:space="preserve"> by the aggregate Net Book Value of all Vehicles leased under the Leases </w:t>
      </w:r>
      <w:r>
        <w:rPr>
          <w:rFonts w:ascii="Times New Roman" w:cs="Times New Roman" w:eastAsia="Times New Roman" w:hAnsi="Times New Roman"/>
          <w:sz w:val="18"/>
          <w:szCs w:val="18"/>
          <w:u w:val="single" w:color="auto"/>
          <w:color w:val="auto"/>
          <w:strike w:val="1"/>
        </w:rPr>
        <w:t>minus</w:t>
      </w:r>
      <w:r>
        <w:rPr>
          <w:rFonts w:ascii="Times New Roman" w:cs="Times New Roman" w:eastAsia="Times New Roman" w:hAnsi="Times New Roman"/>
          <w:sz w:val="18"/>
          <w:szCs w:val="18"/>
          <w:color w:val="auto"/>
          <w:strike w:val="1"/>
        </w:rPr>
        <w:t xml:space="preserve"> (y) 15 percentage points.</w:t>
      </w:r>
    </w:p>
    <w:p>
      <w:pPr>
        <w:spacing w:after="0" w:line="181"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strike w:val="1"/>
        </w:rPr>
        <w:t>Series 2015-3 Maximum Tesla Amount</w:t>
      </w:r>
      <w:r>
        <w:rPr>
          <w:rFonts w:ascii="Times New Roman" w:cs="Times New Roman" w:eastAsia="Times New Roman" w:hAnsi="Times New Roman"/>
          <w:sz w:val="18"/>
          <w:szCs w:val="18"/>
          <w:color w:val="auto"/>
          <w:strike w:val="1"/>
        </w:rPr>
        <w:t>” means, as of any day, an amount equal to 10% of the aggregate Net Book Value of all Vehicles leased under the Leases on such day.</w:t>
      </w:r>
    </w:p>
    <w:p>
      <w:pPr>
        <w:spacing w:after="0" w:line="162" w:lineRule="exact"/>
        <w:rPr>
          <w:sz w:val="20"/>
          <w:szCs w:val="20"/>
          <w:color w:val="auto"/>
        </w:rPr>
      </w:pPr>
    </w:p>
    <w:p>
      <w:pPr>
        <w:ind w:firstLine="1304"/>
        <w:spacing w:after="0" w:line="266" w:lineRule="auto"/>
        <w:tabs>
          <w:tab w:leader="none" w:pos="18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Definition of Series 2015-3 Incremental Enhancement Amount</w:t>
      </w:r>
      <w:r>
        <w:rPr>
          <w:rFonts w:ascii="Times New Roman" w:cs="Times New Roman" w:eastAsia="Times New Roman" w:hAnsi="Times New Roman"/>
          <w:sz w:val="18"/>
          <w:szCs w:val="18"/>
          <w:color w:val="auto"/>
        </w:rPr>
        <w:t>. Clause (vii) of the definition of Series 2015-3 Incremental Enhancement Amount is hereby amended and restated as follows, (i) by deleting the text thereof which is lined out and (ii) by inserting the text thereof which is double underlined:</w:t>
      </w:r>
    </w:p>
    <w:p>
      <w:pPr>
        <w:spacing w:after="0" w:line="176" w:lineRule="exact"/>
        <w:rPr>
          <w:sz w:val="20"/>
          <w:szCs w:val="20"/>
          <w:color w:val="auto"/>
        </w:rPr>
      </w:pPr>
    </w:p>
    <w:p>
      <w:pPr>
        <w:ind w:left="660" w:firstLine="644"/>
        <w:spacing w:after="0" w:line="253" w:lineRule="auto"/>
        <w:tabs>
          <w:tab w:leader="none" w:pos="19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(x) the Series 2015-3 Percentage of the excess, if any, of the aggregate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Leases as of the immediately preceding Business Day over the Series 2015-3 Maximum </w:t>
      </w:r>
      <w:r>
        <w:rPr>
          <w:rFonts w:ascii="Times New Roman" w:cs="Times New Roman" w:eastAsia="Times New Roman" w:hAnsi="Times New Roman"/>
          <w:sz w:val="18"/>
          <w:szCs w:val="18"/>
          <w:color w:val="auto"/>
          <w:strike w:val="1"/>
        </w:rPr>
        <w:t>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Electric Vehicle</w:t>
      </w:r>
      <w:r>
        <w:rPr>
          <w:rFonts w:ascii="Times New Roman" w:cs="Times New Roman" w:eastAsia="Times New Roman" w:hAnsi="Times New Roman"/>
          <w:sz w:val="18"/>
          <w:szCs w:val="18"/>
          <w:color w:val="auto"/>
        </w:rPr>
        <w:t xml:space="preserve"> Amount as of the immediately preceding Business Day and (y) the excess, if any, of (A) the sum of (1) the Series 2015-3 VFN Percentage of the aggregate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AESOP II Operating Lease as of the immediately preceding Business Day and (2) the Series 2015-3 AESOP I Operating Lease Vehicle Percentage of the Net Book Value of all Vehicles </w:t>
      </w:r>
      <w:r>
        <w:rPr>
          <w:rFonts w:ascii="Times New Roman" w:cs="Times New Roman" w:eastAsia="Times New Roman" w:hAnsi="Times New Roman"/>
          <w:sz w:val="18"/>
          <w:szCs w:val="18"/>
          <w:color w:val="auto"/>
          <w:strike w:val="1"/>
        </w:rPr>
        <w:t>manufactured by Tesla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are Electric Vehicles</w:t>
      </w:r>
      <w:r>
        <w:rPr>
          <w:rFonts w:ascii="Times New Roman" w:cs="Times New Roman" w:eastAsia="Times New Roman" w:hAnsi="Times New Roman"/>
          <w:sz w:val="18"/>
          <w:szCs w:val="18"/>
          <w:color w:val="auto"/>
        </w:rPr>
        <w:t xml:space="preserve"> and leased under the AESOP I Operating Lease as of the immediately preceding Business Day over (B) </w:t>
      </w:r>
      <w:r>
        <w:rPr>
          <w:rFonts w:ascii="Times New Roman" w:cs="Times New Roman" w:eastAsia="Times New Roman" w:hAnsi="Times New Roman"/>
          <w:sz w:val="18"/>
          <w:szCs w:val="18"/>
          <w:color w:val="auto"/>
          <w:strike w:val="1"/>
        </w:rPr>
        <w:t>25</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-438785</wp:posOffset>
            </wp:positionV>
            <wp:extent cx="114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4" w:lineRule="exact"/>
        <w:rPr>
          <w:sz w:val="20"/>
          <w:szCs w:val="20"/>
          <w:color w:val="auto"/>
        </w:rPr>
      </w:pPr>
    </w:p>
    <w:p>
      <w:pPr>
        <w:ind w:right="220" w:firstLine="1304"/>
        <w:spacing w:after="0" w:line="282" w:lineRule="auto"/>
        <w:tabs>
          <w:tab w:leader="none" w:pos="18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3.11</w:t>
      </w:r>
      <w:r>
        <w:rPr>
          <w:rFonts w:ascii="Times New Roman" w:cs="Times New Roman" w:eastAsia="Times New Roman" w:hAnsi="Times New Roman"/>
          <w:sz w:val="18"/>
          <w:szCs w:val="18"/>
          <w:color w:val="auto"/>
        </w:rPr>
        <w:t>. Section 3.11(a) and (c) are hereby amended and restated as follows, by (i) deleting the text thereof which is lined out and (ii) by inserting the text thereof which is double underlined:</w:t>
      </w:r>
    </w:p>
    <w:p>
      <w:pPr>
        <w:spacing w:after="0" w:line="162" w:lineRule="exact"/>
        <w:rPr>
          <w:sz w:val="20"/>
          <w:szCs w:val="20"/>
          <w:color w:val="auto"/>
        </w:rPr>
      </w:pPr>
    </w:p>
    <w:p>
      <w:pPr>
        <w:jc w:val="both"/>
        <w:ind w:left="660" w:right="60" w:firstLine="644"/>
        <w:spacing w:after="0" w:line="261" w:lineRule="auto"/>
        <w:tabs>
          <w:tab w:leader="none" w:pos="18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On or prior to the A&amp;R Effective Date,</w:t>
      </w:r>
      <w:r>
        <w:rPr>
          <w:rFonts w:ascii="Times New Roman" w:cs="Times New Roman" w:eastAsia="Times New Roman" w:hAnsi="Times New Roman"/>
          <w:sz w:val="18"/>
          <w:szCs w:val="18"/>
          <w:color w:val="auto"/>
        </w:rPr>
        <w:t xml:space="preserve"> ABRCF </w:t>
      </w:r>
      <w:r>
        <w:rPr>
          <w:rFonts w:ascii="Times New Roman" w:cs="Times New Roman" w:eastAsia="Times New Roman" w:hAnsi="Times New Roman"/>
          <w:sz w:val="18"/>
          <w:szCs w:val="18"/>
          <w:u w:val="single" w:color="auto"/>
          <w:color w:val="auto"/>
        </w:rPr>
        <w:t>may, in its sole discretion elect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shall</w:t>
      </w:r>
      <w:r>
        <w:rPr>
          <w:rFonts w:ascii="Times New Roman" w:cs="Times New Roman" w:eastAsia="Times New Roman" w:hAnsi="Times New Roman"/>
          <w:sz w:val="18"/>
          <w:szCs w:val="18"/>
          <w:color w:val="auto"/>
        </w:rPr>
        <w:t xml:space="preserve"> acquire one or more </w:t>
      </w:r>
      <w:r>
        <w:rPr>
          <w:rFonts w:ascii="Times New Roman" w:cs="Times New Roman" w:eastAsia="Times New Roman" w:hAnsi="Times New Roman"/>
          <w:sz w:val="18"/>
          <w:szCs w:val="18"/>
          <w:color w:val="auto"/>
          <w:strike w:val="1"/>
        </w:rPr>
        <w:t>interest rate caps</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Series 2015-3 Interest Rate Cap</w:t>
      </w:r>
      <w:r>
        <w:rPr>
          <w:rFonts w:ascii="Times New Roman" w:cs="Times New Roman" w:eastAsia="Times New Roman" w:hAnsi="Times New Roman"/>
          <w:sz w:val="18"/>
          <w:szCs w:val="18"/>
          <w:color w:val="auto"/>
        </w:rPr>
        <w:t xml:space="preserve">”) from a Qualified Interest Rate Cap Counterparty </w:t>
      </w:r>
      <w:r>
        <w:rPr>
          <w:rFonts w:ascii="Times New Roman" w:cs="Times New Roman" w:eastAsia="Times New Roman" w:hAnsi="Times New Roman"/>
          <w:sz w:val="18"/>
          <w:szCs w:val="18"/>
          <w:u w:val="single" w:color="auto"/>
          <w:color w:val="auto"/>
        </w:rPr>
        <w:t>or,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On the A&amp;R Effective Date, the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notional amount of all Series 2015-3 Interest Rate Caps shall equal the Class A/B Maximum Invested Amount, and the aggregate notional amount of all Series 2015-3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48260</wp:posOffset>
            </wp:positionV>
            <wp:extent cx="28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left="660"/>
        <w:spacing w:after="0" w:line="252" w:lineRule="auto"/>
        <w:rPr>
          <w:sz w:val="20"/>
          <w:szCs w:val="20"/>
          <w:color w:val="auto"/>
        </w:rPr>
      </w:pPr>
      <w:r>
        <w:rPr>
          <w:rFonts w:ascii="Times New Roman" w:cs="Times New Roman" w:eastAsia="Times New Roman" w:hAnsi="Times New Roman"/>
          <w:sz w:val="18"/>
          <w:szCs w:val="18"/>
          <w:color w:val="auto"/>
        </w:rPr>
        <w:t xml:space="preserve">Interest Rate Caps may be reduced pursuant to the related Series 2015-3 Interest Rate Cap to the extent that the Class A/B Maximum Invested Amount is reduced after the A&amp;R Effective Date. ABRCF shall acquire one or more additional Series 2015-3 Interest Rate Caps in connection with any increase of the Class A/B Maximum Invested Amount after the A&amp;R Effective Date such that the aggregate notional amounts of all Series 2015-3 Interest Rate Caps shall equal the Class A/B Maximum Invested Amount after giving effect to such increase. The strike rate of the Series 2015-3 Interest Rate Cap as of the A&amp;R Effective Date shall not be greater than the Series 2015-3 Required Cap Strike Rate. The Series 2015-3 Interest Rate Caps in effect as of the A&amp;R Effective Date shall extend to at least the Series 2015-3 Interest Rate Cap Expiry Date. On and after the Series 2015-3 Interest Rate Cap Expiry Date, ABRCF shall not be required to acquire any Series 2015-3 Interest Rate Cap unless an ABCR Three-Notch Downgrade Event occurs and is continuing. If an ABCR Three-Notch Downgrade Event has occurred and is continuing </w:t>
      </w:r>
      <w:r>
        <w:rPr>
          <w:rFonts w:ascii="Times New Roman" w:cs="Times New Roman" w:eastAsia="Times New Roman" w:hAnsi="Times New Roman"/>
          <w:sz w:val="18"/>
          <w:szCs w:val="18"/>
          <w:color w:val="auto"/>
          <w:strike w:val="1"/>
        </w:rPr>
        <w:t>(or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ABRCF, in its sole discretion, otherwise elects to acquire a Series 2015-3 Interest Rate Cap)</w:t>
      </w:r>
      <w:r>
        <w:rPr>
          <w:rFonts w:ascii="Times New Roman" w:cs="Times New Roman" w:eastAsia="Times New Roman" w:hAnsi="Times New Roman"/>
          <w:sz w:val="18"/>
          <w:szCs w:val="18"/>
          <w:color w:val="auto"/>
        </w:rPr>
        <w:t xml:space="preserve">, ABRCF shall acquire a Series 2015-3 Interest Rate Cap </w:t>
      </w:r>
      <w:r>
        <w:rPr>
          <w:rFonts w:ascii="Times New Roman" w:cs="Times New Roman" w:eastAsia="Times New Roman" w:hAnsi="Times New Roman"/>
          <w:sz w:val="18"/>
          <w:szCs w:val="18"/>
          <w:u w:val="single" w:color="auto"/>
          <w:color w:val="auto"/>
        </w:rPr>
        <w:t>from a Qualified Interest Rate Cap Counterparty that has the following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in accordance with the terms hereof except that</w:t>
      </w:r>
      <w:r>
        <w:rPr>
          <w:rFonts w:ascii="Times New Roman" w:cs="Times New Roman" w:eastAsia="Times New Roman" w:hAnsi="Times New Roman"/>
          <w:sz w:val="18"/>
          <w:szCs w:val="18"/>
          <w:color w:val="auto"/>
        </w:rPr>
        <w:t xml:space="preserve"> (i) the strike rate of such Series 2015-3 Interest Rate Cap shall not be greater than the Series 2015-3 Required Cap Strike Rate with respect to the Series 2015-3 Interest Rate Cap Period in which such ABCR Three-Notch Downgrade occurs (or in which ABRCF elects to acquire such Series 2015-3 Interest Rate Cap)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xml:space="preserve"> (ii) such Series 2015-3 Interest Rate Cap shall extend to at least the Series 2015-3 Termination Date </w:t>
      </w:r>
      <w:r>
        <w:rPr>
          <w:rFonts w:ascii="Times New Roman" w:cs="Times New Roman" w:eastAsia="Times New Roman" w:hAnsi="Times New Roman"/>
          <w:sz w:val="18"/>
          <w:szCs w:val="18"/>
          <w:u w:val="single" w:color="auto"/>
          <w:color w:val="auto"/>
        </w:rPr>
        <w:t>and (iii) the aggregate notional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 of all Series 2015-3 Interest Rate Caps in effect at the time ABRCF acquires such new Series 2015-3 Interest Rate Cap shall equal the Class A/B Maximum Invested Amount as of such date. The aggregate notional amount of all Series 2015-3 Interest Rate Caps may be reduced pursuant to the related Series 2015-3 Interest Rate Cap to the extent the Class A/B Maximum Invested Amount is reduced after such Series 2015-3 Interest Rate Cap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-970915</wp:posOffset>
            </wp:positionV>
            <wp:extent cx="35185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8535" cy="8255"/>
                    </a:xfrm>
                    <a:prstGeom prst="rect">
                      <a:avLst/>
                    </a:prstGeom>
                    <a:noFill/>
                  </pic:spPr>
                </pic:pic>
              </a:graphicData>
            </a:graphic>
          </wp:anchor>
        </w:drawing>
      </w:r>
    </w:p>
    <w:p>
      <w:pPr>
        <w:spacing w:after="0" w:line="173" w:lineRule="exact"/>
        <w:rPr>
          <w:sz w:val="20"/>
          <w:szCs w:val="20"/>
          <w:color w:val="auto"/>
        </w:rPr>
      </w:pPr>
    </w:p>
    <w:p>
      <w:pPr>
        <w:ind w:left="660" w:firstLine="644"/>
        <w:spacing w:after="0" w:line="255" w:lineRule="auto"/>
        <w:tabs>
          <w:tab w:leader="none" w:pos="18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date of determination </w:t>
      </w:r>
      <w:r>
        <w:rPr>
          <w:rFonts w:ascii="Times New Roman" w:cs="Times New Roman" w:eastAsia="Times New Roman" w:hAnsi="Times New Roman"/>
          <w:sz w:val="18"/>
          <w:szCs w:val="18"/>
          <w:color w:val="auto"/>
          <w:strike w:val="1"/>
        </w:rPr>
        <w:t>on and after the Series 2015-3 Interest Rate Cap Expiry Date and</w:t>
      </w:r>
      <w:r>
        <w:rPr>
          <w:rFonts w:ascii="Times New Roman" w:cs="Times New Roman" w:eastAsia="Times New Roman" w:hAnsi="Times New Roman"/>
          <w:sz w:val="18"/>
          <w:szCs w:val="18"/>
          <w:color w:val="auto"/>
        </w:rPr>
        <w:t xml:space="preserve"> during the Series 2015-3 Revolving Period the Series 2015-3 Springing Interest Rate Cap Reset Condition is satisfied, ABRCF (in its sole discretion) may elect to reduce the Series 2015-3 Required Cap Strike Rate and the Series 2015-3 Springing Interest Rate Cap Trigger;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Series 2015-3 Required Cap Strike Rate may not be reduced to less than (x) Daily Simple SOFR as of the date of such election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250 basis points (or, if an ABCR Two-Notch Downgrade Event or an ABCR Three-Notch Downgrade Event has occurred and is continuing, 450 basis points), (ii) the Series 2015-3 Springing Interest Rate Cap Trigger may not be reduced to less than (x) Daily Simple SOFR as of the date of such election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100 basis points and (iii) ABRCF may not make more than one (1) such election in any calendar month.</w:t>
      </w:r>
    </w:p>
    <w:p>
      <w:pPr>
        <w:spacing w:after="0" w:line="189" w:lineRule="exact"/>
        <w:rPr>
          <w:sz w:val="20"/>
          <w:szCs w:val="20"/>
          <w:color w:val="auto"/>
        </w:rPr>
      </w:pPr>
    </w:p>
    <w:p>
      <w:pPr>
        <w:ind w:left="1840" w:hanging="536"/>
        <w:spacing w:after="0"/>
        <w:tabs>
          <w:tab w:leader="none" w:pos="1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8.2</w:t>
      </w:r>
      <w:r>
        <w:rPr>
          <w:rFonts w:ascii="Times New Roman" w:cs="Times New Roman" w:eastAsia="Times New Roman" w:hAnsi="Times New Roman"/>
          <w:sz w:val="18"/>
          <w:szCs w:val="18"/>
          <w:color w:val="auto"/>
        </w:rPr>
        <w:t>. Section 8.2(e) is hereby amended and restated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right="180" w:firstLine="644"/>
        <w:spacing w:after="0" w:line="266" w:lineRule="auto"/>
        <w:tabs>
          <w:tab w:leader="none" w:pos="18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they shall not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(i) agree to any amendment to the Base Indenture or any other Related Document, or (ii) take any action under the Base Indenture or any other Related Documents, which amendment or action requires the consent or direction of the Requisite Investors, without having received the prior written consent of the Requisite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6" w:name="page47"/>
    <w:bookmarkEnd w:id="46"/>
    <w:p>
      <w:pPr>
        <w:ind w:left="660" w:right="280"/>
        <w:spacing w:after="0" w:line="282" w:lineRule="auto"/>
        <w:rPr>
          <w:sz w:val="20"/>
          <w:szCs w:val="20"/>
          <w:color w:val="auto"/>
        </w:rPr>
      </w:pPr>
      <w:r>
        <w:rPr>
          <w:rFonts w:ascii="Times New Roman" w:cs="Times New Roman" w:eastAsia="Times New Roman" w:hAnsi="Times New Roman"/>
          <w:sz w:val="18"/>
          <w:szCs w:val="18"/>
          <w:color w:val="auto"/>
        </w:rPr>
        <w:t xml:space="preserve">Noteholders </w:t>
      </w:r>
      <w:r>
        <w:rPr>
          <w:rFonts w:ascii="Times New Roman" w:cs="Times New Roman" w:eastAsia="Times New Roman" w:hAnsi="Times New Roman"/>
          <w:sz w:val="18"/>
          <w:szCs w:val="18"/>
          <w:u w:val="single" w:color="auto"/>
          <w:color w:val="auto"/>
        </w:rPr>
        <w:t>or (y) take any action or make amendment to any Related Document pursuant to Section 12.2(c) of the Base Indenture without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 of 100% of the Series 2015-3 Noteholders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wp:posOffset>
            </wp:positionV>
            <wp:extent cx="2306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142" w:lineRule="exact"/>
        <w:rPr>
          <w:sz w:val="20"/>
          <w:szCs w:val="20"/>
          <w:color w:val="auto"/>
        </w:rPr>
      </w:pPr>
    </w:p>
    <w:p>
      <w:pPr>
        <w:ind w:left="1840" w:hanging="536"/>
        <w:spacing w:after="0"/>
        <w:tabs>
          <w:tab w:leader="none" w:pos="1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11.4</w:t>
      </w:r>
      <w:r>
        <w:rPr>
          <w:rFonts w:ascii="Times New Roman" w:cs="Times New Roman" w:eastAsia="Times New Roman" w:hAnsi="Times New Roman"/>
          <w:sz w:val="18"/>
          <w:szCs w:val="18"/>
          <w:color w:val="auto"/>
        </w:rPr>
        <w:t>. Section 11.4(b) is hereby amended and restated by inserting the text thereof which is double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firstLine="644"/>
        <w:spacing w:after="0" w:line="256" w:lineRule="auto"/>
        <w:tabs>
          <w:tab w:leader="none" w:pos="18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ABRCF, the Trustee, the Administrative Agent, the Administrator, each CP Conduit Purchaser, each Non-Conduit Purchaser, each Funding Agent, each Committed Note Purchaser and each APA Bank hereby covenants and agrees that, prior to the date which is one year and one day after the payment in full of all outstanding Commercial Paper </w:t>
      </w:r>
      <w:r>
        <w:rPr>
          <w:rFonts w:ascii="Times New Roman" w:cs="Times New Roman" w:eastAsia="Times New Roman" w:hAnsi="Times New Roman"/>
          <w:sz w:val="18"/>
          <w:szCs w:val="18"/>
          <w:u w:val="single" w:color="auto"/>
          <w:color w:val="auto"/>
        </w:rPr>
        <w:t>or other senior indebtedness</w:t>
      </w:r>
      <w:r>
        <w:rPr>
          <w:rFonts w:ascii="Times New Roman" w:cs="Times New Roman" w:eastAsia="Times New Roman" w:hAnsi="Times New Roman"/>
          <w:sz w:val="18"/>
          <w:szCs w:val="18"/>
          <w:color w:val="auto"/>
        </w:rPr>
        <w:t xml:space="preserve">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87" w:lineRule="exact"/>
        <w:rPr>
          <w:sz w:val="20"/>
          <w:szCs w:val="20"/>
          <w:color w:val="auto"/>
        </w:rPr>
      </w:pPr>
    </w:p>
    <w:p>
      <w:pPr>
        <w:ind w:right="240" w:firstLine="1304"/>
        <w:spacing w:after="0" w:line="282" w:lineRule="auto"/>
        <w:tabs>
          <w:tab w:leader="none" w:pos="18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11.5</w:t>
      </w:r>
      <w:r>
        <w:rPr>
          <w:rFonts w:ascii="Times New Roman" w:cs="Times New Roman" w:eastAsia="Times New Roman" w:hAnsi="Times New Roman"/>
          <w:sz w:val="18"/>
          <w:szCs w:val="18"/>
          <w:color w:val="auto"/>
        </w:rPr>
        <w:t>. The first paragraph of Section 11.5(a) is hereby amended and restated by inserting the text thereof which is double underlined:</w:t>
      </w:r>
    </w:p>
    <w:p>
      <w:pPr>
        <w:spacing w:after="0" w:line="162" w:lineRule="exact"/>
        <w:rPr>
          <w:sz w:val="20"/>
          <w:szCs w:val="20"/>
          <w:color w:val="auto"/>
        </w:rPr>
      </w:pPr>
    </w:p>
    <w:p>
      <w:pPr>
        <w:ind w:left="660" w:right="140" w:firstLine="644"/>
        <w:spacing w:after="0" w:line="255" w:lineRule="auto"/>
        <w:tabs>
          <w:tab w:leader="none" w:pos="18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w:t>
      </w:r>
      <w:r>
        <w:rPr>
          <w:rFonts w:ascii="Times New Roman" w:cs="Times New Roman" w:eastAsia="Times New Roman" w:hAnsi="Times New Roman"/>
          <w:sz w:val="18"/>
          <w:szCs w:val="18"/>
          <w:u w:val="single" w:color="auto"/>
          <w:color w:val="auto"/>
        </w:rPr>
        <w:t>or other senior indebtedness</w:t>
      </w:r>
      <w:r>
        <w:rPr>
          <w:rFonts w:ascii="Times New Roman" w:cs="Times New Roman" w:eastAsia="Times New Roman" w:hAnsi="Times New Roman"/>
          <w:sz w:val="18"/>
          <w:szCs w:val="18"/>
          <w:color w:val="auto"/>
        </w:rPr>
        <w:t xml:space="preserve">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 </w:t>
      </w:r>
      <w:r>
        <w:rPr>
          <w:rFonts w:ascii="Times New Roman" w:cs="Times New Roman" w:eastAsia="Times New Roman" w:hAnsi="Times New Roman"/>
          <w:sz w:val="18"/>
          <w:szCs w:val="18"/>
          <w:u w:val="single" w:color="auto"/>
          <w:color w:val="auto"/>
        </w:rPr>
        <w:t>and other senior indebtedness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840" w:hanging="536"/>
        <w:spacing w:after="0"/>
        <w:tabs>
          <w:tab w:leader="none" w:pos="18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11.20</w:t>
      </w:r>
      <w:r>
        <w:rPr>
          <w:rFonts w:ascii="Times New Roman" w:cs="Times New Roman" w:eastAsia="Times New Roman" w:hAnsi="Times New Roman"/>
          <w:sz w:val="18"/>
          <w:szCs w:val="18"/>
          <w:color w:val="auto"/>
        </w:rPr>
        <w:t>. Section 11.20 is hereby amended and restated as follows: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and restating Section 11.20(a) by deleting the text thereof which is lined out and by inserting the text thereof which is double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underlined:</w:t>
      </w:r>
    </w:p>
    <w:p>
      <w:pPr>
        <w:spacing w:after="0" w:line="207" w:lineRule="exact"/>
        <w:rPr>
          <w:sz w:val="20"/>
          <w:szCs w:val="20"/>
          <w:color w:val="auto"/>
        </w:rPr>
      </w:pPr>
    </w:p>
    <w:p>
      <w:pPr>
        <w:ind w:left="660" w:right="160" w:firstLine="644"/>
        <w:spacing w:after="0" w:line="258" w:lineRule="auto"/>
        <w:tabs>
          <w:tab w:leader="none" w:pos="18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each Series 2015-3 Noteholder will maintain the confidentiality of all Confidential Information in accordance with procedures adopted by the Trustee or such Series 2015-3 Noteholder in good faith to protect Confidential Information of third parties delivered to such Person; provided,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11.20; (ii) (x) such Person’s financial advisors and other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8"/>
          <w:szCs w:val="18"/>
          <w:color w:val="auto"/>
        </w:rPr>
        <w:t xml:space="preserve">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 of this Section 11.20; (iii) any other Series 2015-3 Noteholder; (iv) any Person of the type that would be, to such Person’s knowledge, permitted to acquire Series 2015-3 Notes in accordance with the requirements of the Indenture to which such Person sells or offers to sell any such Series 2015-3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 (viii) 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w:t>
      </w:r>
      <w:r>
        <w:rPr>
          <w:rFonts w:ascii="Times New Roman" w:cs="Times New Roman" w:eastAsia="Times New Roman" w:hAnsi="Times New Roman"/>
          <w:sz w:val="18"/>
          <w:szCs w:val="18"/>
          <w:color w:val="auto"/>
          <w:strike w:val="1"/>
        </w:rPr>
        <w:t>if an Amortization Event with respect to the Series 2015-3 Notes has occurred and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continuing, to the extent such Person may reasonably determine such delivery and disclosure to be necessary or appropriate in the enforcement or for the protection of the rights and remedies under the Series 2015-3 Notes, the Indenture or any other Related Document </w:t>
      </w:r>
      <w:r>
        <w:rPr>
          <w:rFonts w:ascii="Times New Roman" w:cs="Times New Roman" w:eastAsia="Times New Roman" w:hAnsi="Times New Roman"/>
          <w:sz w:val="18"/>
          <w:szCs w:val="18"/>
          <w:u w:val="single" w:color="auto"/>
          <w:color w:val="auto"/>
          <w:strike w:val="1"/>
        </w:rPr>
        <w:t>any other Person to the</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extent that information is reasonably necessary to enforce its rights hereunder and used in connection with the exercise, waiver or amendment of such Person’s rights or obligations under, related to or arising out of the Series 2015-3 Notes, the Indenture or any other Related Document or any other transactions that such Person and its affiliates may have with ABRCF and its affiliates, including but not limited to any related hedges or hedging activities</w:t>
      </w:r>
      <w:r>
        <w:rPr>
          <w:rFonts w:ascii="Times New Roman" w:cs="Times New Roman" w:eastAsia="Times New Roman" w:hAnsi="Times New Roman"/>
          <w:sz w:val="18"/>
          <w:szCs w:val="18"/>
          <w:color w:val="auto"/>
          <w:strike w:val="1"/>
        </w:rPr>
        <w:t>; and provided, further, however, that delivery to Series 2015-3 Noteholders of any report or information required by the terms of the Indenture to be provided to Series 2015-3 Noteholders shall not be a violation of this Section 11.20. Each Series 2015-3 Noteholder agrees, except as set forth in clauses (v), (vi) and (x) above, that it shall use the Confidential Information for the sole purpose of making an investment in the Series 2015-3 Notes or administering its investment in the Series 2015-3 Notes. In the event of any required disclosure of the Confidential Information by such Series 2015-3 Noteholder, such Series 2015-3 Noteholder agrees to use reasonable efforts to protect the confidentiality of the Confidential Information. Each Series 2015-3 Noteholder, by its acceptance of a Series 2015-3 Note, will be deemed to have agreed to be bound by and to be entitled to the benefits of this Section 11.20.;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808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spacing w:after="0" w:line="2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48" w:name="page49"/>
    <w:bookmarkEnd w:id="48"/>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a new clause (c) the text of which is double underlined below:</w:t>
      </w:r>
    </w:p>
    <w:p>
      <w:pPr>
        <w:spacing w:after="0" w:line="225" w:lineRule="exact"/>
        <w:rPr>
          <w:rFonts w:ascii="Times New Roman" w:cs="Times New Roman" w:eastAsia="Times New Roman" w:hAnsi="Times New Roman"/>
          <w:sz w:val="18"/>
          <w:szCs w:val="18"/>
          <w:color w:val="auto"/>
        </w:rPr>
      </w:pPr>
    </w:p>
    <w:p>
      <w:pPr>
        <w:ind w:left="660" w:right="120" w:firstLine="644"/>
        <w:spacing w:after="0" w:line="312" w:lineRule="auto"/>
        <w:tabs>
          <w:tab w:leader="none" w:pos="182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 the avoidance of doubt, nothing herein shall prohibit any Person from communicating or disclosing information regarding suspected violations of laws, rules, or regulations to a governmental, regulatory, or self-regulatory authority without any notification to any party.</w:t>
      </w:r>
    </w:p>
    <w:p>
      <w:pPr>
        <w:spacing w:after="0" w:line="140" w:lineRule="exact"/>
        <w:rPr>
          <w:sz w:val="20"/>
          <w:szCs w:val="20"/>
          <w:color w:val="auto"/>
        </w:rPr>
      </w:pPr>
    </w:p>
    <w:p>
      <w:pPr>
        <w:ind w:right="400" w:firstLine="1304"/>
        <w:spacing w:after="0" w:line="282" w:lineRule="auto"/>
        <w:tabs>
          <w:tab w:leader="none" w:pos="19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Schedule I</w:t>
      </w:r>
      <w:r>
        <w:rPr>
          <w:rFonts w:ascii="Times New Roman" w:cs="Times New Roman" w:eastAsia="Times New Roman" w:hAnsi="Times New Roman"/>
          <w:sz w:val="18"/>
          <w:szCs w:val="18"/>
          <w:color w:val="auto"/>
        </w:rPr>
        <w:t xml:space="preserve">. Schedule I of the Series 2015-3 Supplement is hereby deleted in its entirety and substituted with Schedule I, as it appears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9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Exhibit J</w:t>
      </w:r>
      <w:r>
        <w:rPr>
          <w:rFonts w:ascii="Times New Roman" w:cs="Times New Roman" w:eastAsia="Times New Roman" w:hAnsi="Times New Roman"/>
          <w:sz w:val="18"/>
          <w:szCs w:val="18"/>
          <w:color w:val="auto"/>
        </w:rPr>
        <w:t xml:space="preserve">. Exhibit J of the Series 2015-3 Supplement is hereby deleted in its entirety and substituted with Exhibit J as it appears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140" w:firstLine="1304"/>
        <w:spacing w:after="0" w:line="266" w:lineRule="auto"/>
        <w:tabs>
          <w:tab w:leader="none" w:pos="19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By their signatures hereto, each of the undersigned (excluding The Bank of New York Mellon Trust Company, N.A., in its capacity as Trustee and Series 2015-3 Agent) hereby authorize and direct the Trustee and Series 2015-3 Agent to execute this Amendment and take any and all further action necessary or appropriate to give effect to the transaction contemplated hereby.</w:t>
      </w:r>
    </w:p>
    <w:p>
      <w:pPr>
        <w:spacing w:after="0" w:line="175" w:lineRule="exact"/>
        <w:rPr>
          <w:rFonts w:ascii="Times New Roman" w:cs="Times New Roman" w:eastAsia="Times New Roman" w:hAnsi="Times New Roman"/>
          <w:sz w:val="18"/>
          <w:szCs w:val="18"/>
          <w:color w:val="auto"/>
        </w:rPr>
      </w:pPr>
    </w:p>
    <w:p>
      <w:pPr>
        <w:ind w:right="80" w:firstLine="1304"/>
        <w:spacing w:after="0" w:line="282" w:lineRule="auto"/>
        <w:tabs>
          <w:tab w:leader="none" w:pos="19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any other provision of the Series 2015-3 Supplement.</w:t>
      </w:r>
    </w:p>
    <w:p>
      <w:pPr>
        <w:spacing w:after="0" w:line="161" w:lineRule="exact"/>
        <w:rPr>
          <w:rFonts w:ascii="Times New Roman" w:cs="Times New Roman" w:eastAsia="Times New Roman" w:hAnsi="Times New Roman"/>
          <w:sz w:val="18"/>
          <w:szCs w:val="18"/>
          <w:color w:val="auto"/>
        </w:rPr>
      </w:pPr>
    </w:p>
    <w:p>
      <w:pPr>
        <w:ind w:firstLine="1304"/>
        <w:spacing w:after="0" w:line="254" w:lineRule="auto"/>
        <w:tabs>
          <w:tab w:leader="none" w:pos="19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non-pro rata reallocation of the Commitments among the Purchaser Groups, each Purchaser Group hereby makes an assignment and assumption such that, after giving effect thereto, the Purchaser Group Invested Amount with respect to each such Purchaser Group shall equal (i) with respect to each Purchaser Group that owns Class A Notes, the product of (A) the Class A Invested Amount on the Amendment Effective Date and (B) its Class A Commitment Percentage and (ii) with respect to each Purchaser Group that owns Class B Notes, the product of (A) the Class B Invested Amount on the Amendment Effective Date and (B) its Class B Commitment Percentage, in each case, after giving effect to the amendment of Schedule I hereby. The parties hereto agree and acknowledge that each Purchaser Group takes the interests being assigned hereunder by the other Purchaser Groups without recourse, representation or warranty from such Purchaser Groups. By its execution hereof, (x) the Administrative Agent consents to such reallocation and (y) the Administrative Agent and each Purchaser Group waive any advance notice requirement pursuant to Section 2.6 of the Series 2015-3 Supplement solely in connection with such reallocation.</w:t>
      </w:r>
    </w:p>
    <w:p>
      <w:pPr>
        <w:spacing w:after="0" w:line="18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on the later of (x) the date hereof and (y) the date on which each of the following shall</w:t>
      </w:r>
    </w:p>
    <w:p>
      <w:pPr>
        <w:spacing w:after="0" w:line="27" w:lineRule="exact"/>
        <w:rPr>
          <w:rFonts w:ascii="Times New Roman" w:cs="Times New Roman" w:eastAsia="Times New Roman" w:hAnsi="Times New Roman"/>
          <w:sz w:val="18"/>
          <w:szCs w:val="18"/>
          <w:color w:val="auto"/>
        </w:rPr>
      </w:pPr>
    </w:p>
    <w:p>
      <w:pPr>
        <w:jc w:val="both"/>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occurred: (i) each of ABRCF, the Administrator, the Administrative Agent and each Series 2015-3 Noteholder shall have executed and delivered this Amendment to the Trustee, and the Trustee shall have executed this Amendment, (ii) the Rating Agency Consent Condition shall have been satisfied with respect to this Amendment, (iii) each Funding Agent shall have received a letter, in form and substance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ind w:right="40"/>
        <w:spacing w:after="0" w:line="254" w:lineRule="auto"/>
        <w:rPr>
          <w:sz w:val="20"/>
          <w:szCs w:val="20"/>
          <w:color w:val="auto"/>
        </w:rPr>
      </w:pPr>
      <w:r>
        <w:rPr>
          <w:rFonts w:ascii="Times New Roman" w:cs="Times New Roman" w:eastAsia="Times New Roman" w:hAnsi="Times New Roman"/>
          <w:sz w:val="18"/>
          <w:szCs w:val="18"/>
          <w:color w:val="auto"/>
        </w:rPr>
        <w:t>satisfactory to such Funding Agent, from each of Moody’s, Standard &amp; Poor’s and/or Fitch, as applicable, confirming the commercial paper rating of the related CP Conduit Purchaser after the effectiveness of this Amendment, (iv) all certificates and opinions of counsel required under the Base Indenture or by the Series 2015-3 Noteholders shall have been delivered to the Trustee and the Series 2015-3 Noteholders, as applicable, (v) the Administrative Agent shall have received, to the extent reasonably requested by the Administrative Agent (or by any Funding Agent or Non-Conduit Purchaser through the Administrative Agent) from the Administrator, all documentation and other information about ABRCF and its Affiliates required by regulatory authorities under applicable “know your customer” and anti-money laundering rules and regulations, including the Patriot Act and (vi) the amendment, dated as of the date hereof, to the Series 2010-6 Supplement shall have been executed and delivered by the parties thereto and all conditions precedent to the effectiveness thereof shall have been satisfied or waived (such later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1304"/>
        <w:spacing w:after="0" w:line="282" w:lineRule="auto"/>
        <w:tabs>
          <w:tab w:leader="none" w:pos="19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Effective Date, all references to the Series 2015-3 Supplement shall be deemed to be references to the Series 2015-3 Supplement as amended hereby.</w:t>
      </w:r>
    </w:p>
    <w:p>
      <w:pPr>
        <w:spacing w:after="0" w:line="161" w:lineRule="exact"/>
        <w:rPr>
          <w:rFonts w:ascii="Times New Roman" w:cs="Times New Roman" w:eastAsia="Times New Roman" w:hAnsi="Times New Roman"/>
          <w:sz w:val="18"/>
          <w:szCs w:val="18"/>
          <w:color w:val="auto"/>
        </w:rPr>
      </w:pPr>
    </w:p>
    <w:p>
      <w:pPr>
        <w:ind w:firstLine="1304"/>
        <w:spacing w:after="0" w:line="254" w:lineRule="auto"/>
        <w:tabs>
          <w:tab w:leader="none" w:pos="19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18"/>
          <w:szCs w:val="18"/>
          <w:color w:val="auto"/>
        </w:rPr>
      </w:pPr>
    </w:p>
    <w:p>
      <w:pPr>
        <w:ind w:right="1020" w:firstLine="1304"/>
        <w:spacing w:after="0" w:line="282" w:lineRule="auto"/>
        <w:tabs>
          <w:tab w:leader="none" w:pos="19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have caused this Amendment to be duly executed by their respective duly authorized officers as of the date above first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Treasurer</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51" w:name="page52"/>
    <w:bookmarkEnd w:id="51"/>
    <w:p>
      <w:pPr>
        <w:ind w:left="564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 N.A.,</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Trustee and Series 2015-3 Agent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Mitchell L. Brumwell</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Mitchell L. Brumwell</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120" w:type="dxa"/>
            <w:vAlign w:val="bottom"/>
          </w:tcPr>
          <w:p>
            <w:pPr>
              <w:spacing w:after="0"/>
              <w:rPr>
                <w:sz w:val="20"/>
                <w:szCs w:val="20"/>
                <w:color w:val="auto"/>
              </w:rPr>
            </w:pPr>
          </w:p>
        </w:tc>
      </w:tr>
      <w:tr>
        <w:trPr>
          <w:trHeight w:val="1411"/>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2" w:name="page53"/>
    <w:bookmarkEnd w:id="52"/>
    <w:p>
      <w:pPr>
        <w:ind w:left="564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c>
          <w:tcPr>
            <w:tcW w:w="112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AGREED, ACKNOWLEDGED AND CONSENTED: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SALISBURY RECEIVABLES COMPANY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Series 2015-3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John McCarthy</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 Series 2015-3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John McCarthy</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under the Series 2015-3 Supplement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John McCarthy</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FALCON ASSET FUNDING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2015-3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Funding Agent under the Series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2015-3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an APA Bank under the Series 2015-3</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V. Frank</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Catherine V. Frank</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AESOP LEASING, 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 Committed Note Purchaser under the Series 2015-3</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c>
          <w:tcPr>
            <w:tcW w:w="6740" w:type="dxa"/>
            <w:vAlign w:val="bottom"/>
          </w:tcPr>
          <w:p>
            <w:pPr>
              <w:spacing w:after="0"/>
              <w:rPr>
                <w:sz w:val="20"/>
                <w:szCs w:val="20"/>
                <w:color w:val="auto"/>
              </w:rPr>
            </w:pPr>
          </w:p>
        </w:tc>
      </w:tr>
      <w:tr>
        <w:trPr>
          <w:trHeight w:val="119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ectPr>
          <w:pgSz w:w="11900" w:h="16838" w:orient="portrait"/>
          <w:cols w:equalWidth="0" w:num="1">
            <w:col w:w="9019"/>
          </w:cols>
          <w:pgMar w:left="1440" w:top="765"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908685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u w:val="single" w:color="auto"/>
          <w:color w:val="auto"/>
        </w:rPr>
        <w:t>SCHEDULE I-A TO FOURTH AMENDED AND RESTATED SERIES 2015-3 SUPPLEMENT</w:t>
      </w:r>
    </w:p>
    <w:p>
      <w:pPr>
        <w:sectPr>
          <w:pgSz w:w="11900" w:h="16838" w:orient="portrait"/>
          <w:cols w:equalWidth="0" w:num="1">
            <w:col w:w="9019"/>
          </w:cols>
          <w:pgMar w:left="1440" w:top="769"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CP Conduit Purchaser Groups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Non-Conduit Purchasers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Committed Note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911225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u w:val="single" w:color="auto"/>
          <w:color w:val="auto"/>
        </w:rPr>
        <w:t>SCHEDULE I-B TO FOURTH AMENDED AND RESTATED SERIES 2015-3 SUPPLEMENT</w:t>
      </w:r>
    </w:p>
    <w:p>
      <w:pPr>
        <w:sectPr>
          <w:pgSz w:w="11900" w:h="16838" w:orient="portrait"/>
          <w:cols w:equalWidth="0" w:num="1">
            <w:col w:w="9019"/>
          </w:cols>
          <w:pgMar w:left="1440" w:top="553"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CP Conduit Purchaser Groups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Non-Conduit Purchasers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Committed Note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1322705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J: Form of Supplemental Indenture No. 5 to the Second Amended and Restated 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918845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5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lowerRoman"/>
      <w:start w:val="10"/>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lowerRoman"/>
      <w:start w:val="7"/>
    </w:lvl>
  </w:abstractNum>
  <w:abstractNum w:abstractNumId="9">
    <w:nsid w:val="8138641"/>
    <w:multiLevelType w:val="hybridMultilevel"/>
    <w:lvl w:ilvl="0">
      <w:lvlJc w:val="left"/>
      <w:lvlText w:val="%1."/>
      <w:numFmt w:val="decimal"/>
      <w:start w:val="5"/>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3"/>
    </w:lvl>
  </w:abstractNum>
  <w:abstractNum w:abstractNumId="12">
    <w:nsid w:val="737B8DDC"/>
    <w:multiLevelType w:val="hybridMultilevel"/>
    <w:lvl w:ilvl="0">
      <w:lvlJc w:val="left"/>
      <w:lvlText w:val="%1."/>
      <w:numFmt w:val="decimal"/>
      <w:start w:val="6"/>
    </w:lvl>
  </w:abstractNum>
  <w:abstractNum w:abstractNumId="13">
    <w:nsid w:val="6CEAF087"/>
    <w:multiLevelType w:val="hybridMultilevel"/>
    <w:lvl w:ilvl="0">
      <w:lvlJc w:val="left"/>
      <w:lvlText w:val="(%1)"/>
      <w:numFmt w:val="lowerLetter"/>
      <w:start w:val="5"/>
    </w:lvl>
  </w:abstractNum>
  <w:abstractNum w:abstractNumId="14">
    <w:nsid w:val="22221A70"/>
    <w:multiLevelType w:val="hybridMultilevel"/>
    <w:lvl w:ilvl="0">
      <w:lvlJc w:val="left"/>
      <w:lvlText w:val="%1."/>
      <w:numFmt w:val="decimal"/>
      <w:start w:val="7"/>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decimal"/>
      <w:start w:val="8"/>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Roman"/>
      <w:start w:val="1"/>
    </w:lvl>
    <w:lvl w:ilvl="1">
      <w:lvlJc w:val="left"/>
      <w:lvlText w:val="%2."/>
      <w:numFmt w:val="decimal"/>
      <w:start w:val="9"/>
    </w:lvl>
  </w:abstractNum>
  <w:abstractNum w:abstractNumId="19">
    <w:nsid w:val="5577F8E1"/>
    <w:multiLevelType w:val="hybridMultilevel"/>
    <w:lvl w:ilvl="0">
      <w:lvlJc w:val="left"/>
      <w:lvlText w:val="(%1)"/>
      <w:numFmt w:val="lowerRoman"/>
      <w:start w:val="1"/>
    </w:lvl>
    <w:lvl w:ilvl="1">
      <w:lvlJc w:val="left"/>
      <w:lvlText w:val="%2"/>
      <w:numFmt w:val="decimal"/>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Roman"/>
      <w:start w:val="8"/>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1."/>
      <w:numFmt w:val="decimal"/>
      <w:start w:val="10"/>
    </w:lvl>
  </w:abstractNum>
  <w:abstractNum w:abstractNumId="25">
    <w:nsid w:val="5C482A97"/>
    <w:multiLevelType w:val="hybridMultilevel"/>
    <w:lvl w:ilvl="0">
      <w:lvlJc w:val="left"/>
      <w:lvlText w:val="%1."/>
      <w:numFmt w:val="decimal"/>
      <w:start w:val="16"/>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decimal"/>
      <w:start w:val="3"/>
    </w:lvl>
  </w:abstractNum>
  <w:abstractNum w:abstractNumId="32">
    <w:nsid w:val="3855585C"/>
    <w:multiLevelType w:val="hybridMultilevel"/>
    <w:lvl w:ilvl="0">
      <w:lvlJc w:val="left"/>
      <w:lvlText w:val="(%1)"/>
      <w:numFmt w:val="lowerRoman"/>
      <w:start w:val="10"/>
    </w:lvl>
  </w:abstractNum>
  <w:abstractNum w:abstractNumId="33">
    <w:nsid w:val="70A64E2A"/>
    <w:multiLevelType w:val="hybridMultilevel"/>
    <w:lvl w:ilvl="0">
      <w:lvlJc w:val="left"/>
      <w:lvlText w:val="%1."/>
      <w:numFmt w:val="decimal"/>
      <w:start w:val="4"/>
    </w:lvl>
  </w:abstractNum>
  <w:abstractNum w:abstractNumId="34">
    <w:nsid w:val="6A2342EC"/>
    <w:multiLevelType w:val="hybridMultilevel"/>
    <w:lvl w:ilvl="0">
      <w:lvlJc w:val="left"/>
      <w:lvlText w:val="(%1)"/>
      <w:numFmt w:val="lowerRoman"/>
      <w:start w:val="7"/>
    </w:lvl>
  </w:abstractNum>
  <w:abstractNum w:abstractNumId="35">
    <w:nsid w:val="2A487CB0"/>
    <w:multiLevelType w:val="hybridMultilevel"/>
    <w:lvl w:ilvl="0">
      <w:lvlJc w:val="left"/>
      <w:lvlText w:val="%1."/>
      <w:numFmt w:val="decimal"/>
      <w:start w:val="5"/>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3"/>
    </w:lvl>
  </w:abstractNum>
  <w:abstractNum w:abstractNumId="38">
    <w:nsid w:val="2CD89A32"/>
    <w:multiLevelType w:val="hybridMultilevel"/>
    <w:lvl w:ilvl="0">
      <w:lvlJc w:val="left"/>
      <w:lvlText w:val="%1."/>
      <w:numFmt w:val="decimal"/>
      <w:start w:val="6"/>
    </w:lvl>
  </w:abstractNum>
  <w:abstractNum w:abstractNumId="39">
    <w:nsid w:val="57E4CCAF"/>
    <w:multiLevelType w:val="hybridMultilevel"/>
    <w:lvl w:ilvl="0">
      <w:lvlJc w:val="left"/>
      <w:lvlText w:val="(%1)"/>
      <w:numFmt w:val="lowerLetter"/>
      <w:start w:val="5"/>
    </w:lvl>
  </w:abstractNum>
  <w:abstractNum w:abstractNumId="40">
    <w:nsid w:val="7A6D8D3C"/>
    <w:multiLevelType w:val="hybridMultilevel"/>
    <w:lvl w:ilvl="0">
      <w:lvlJc w:val="left"/>
      <w:lvlText w:val="%1."/>
      <w:numFmt w:val="decimal"/>
      <w:start w:val="7"/>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Roman"/>
      <w:start w:val="1"/>
    </w:lvl>
    <w:lvl w:ilvl="1">
      <w:lvlJc w:val="left"/>
      <w:lvlText w:val="%2."/>
      <w:numFmt w:val="decimal"/>
      <w:start w:val="9"/>
    </w:lvl>
  </w:abstractNum>
  <w:abstractNum w:abstractNumId="45">
    <w:nsid w:val="7644A45C"/>
    <w:multiLevelType w:val="hybridMultilevel"/>
    <w:lvl w:ilvl="0">
      <w:lvlJc w:val="left"/>
      <w:lvlText w:val="(%1)"/>
      <w:numFmt w:val="lowerRoman"/>
      <w:start w:val="1"/>
    </w:lvl>
    <w:lvl w:ilvl="1">
      <w:lvlJc w:val="left"/>
      <w:lvlText w:val="%2"/>
      <w:numFmt w:val="decimal"/>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35"/>
    </w:lvl>
    <w:lvl w:ilvl="1">
      <w:lvlJc w:val="left"/>
      <w:lvlText w:val="(%2)"/>
      <w:numFmt w:val="lowerLetter"/>
      <w:start w:val="3"/>
    </w:lvl>
  </w:abstractNum>
  <w:abstractNum w:abstractNumId="48">
    <w:nsid w:val="579478FE"/>
    <w:multiLevelType w:val="hybridMultilevel"/>
    <w:lvl w:ilvl="0">
      <w:lvlJc w:val="left"/>
      <w:lvlText w:val="%1."/>
      <w:numFmt w:val="decimal"/>
      <w:start w:val="10"/>
    </w:lvl>
  </w:abstractNum>
  <w:abstractNum w:abstractNumId="49">
    <w:nsid w:val="749ABB4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2026-05-05T16:10:30Z</dcterms:created>
  <dcterms:modified xsi:type="dcterms:W3CDTF">2026-05-05T16:10:30Z</dcterms:modified>
</cp:coreProperties>
</file>